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宋体" w:hAnsi="华文宋体" w:eastAsia="华文宋体" w:cs="华文宋体"/>
          <w:color w:val="auto"/>
          <w:highlight w:val="none"/>
        </w:rPr>
      </w:pPr>
      <w:bookmarkStart w:id="202" w:name="_GoBack"/>
      <w:bookmarkEnd w:id="202"/>
    </w:p>
    <w:p>
      <w:pPr>
        <w:pStyle w:val="47"/>
        <w:rPr>
          <w:rFonts w:hint="eastAsia" w:ascii="华文宋体" w:hAnsi="华文宋体" w:eastAsia="华文宋体" w:cs="华文宋体"/>
          <w:color w:val="auto"/>
          <w:highlight w:val="none"/>
        </w:rPr>
      </w:pPr>
    </w:p>
    <w:p>
      <w:pPr>
        <w:pStyle w:val="25"/>
        <w:ind w:left="360"/>
        <w:rPr>
          <w:rFonts w:hint="eastAsia" w:ascii="华文宋体" w:hAnsi="华文宋体" w:eastAsia="华文宋体" w:cs="华文宋体"/>
          <w:color w:val="auto"/>
          <w:highlight w:val="none"/>
        </w:rPr>
      </w:pPr>
    </w:p>
    <w:p>
      <w:pPr>
        <w:ind w:left="29" w:leftChars="-95" w:right="-18" w:rightChars="-10" w:hanging="200" w:hangingChars="100"/>
        <w:rPr>
          <w:rFonts w:hint="eastAsia" w:ascii="华文宋体" w:hAnsi="华文宋体" w:eastAsia="华文宋体" w:cs="华文宋体"/>
          <w:color w:val="auto"/>
          <w:sz w:val="20"/>
          <w:szCs w:val="24"/>
          <w:highlight w:val="none"/>
        </w:rPr>
      </w:pPr>
    </w:p>
    <w:p>
      <w:pPr>
        <w:jc w:val="center"/>
        <w:rPr>
          <w:rFonts w:hint="eastAsia" w:ascii="华文宋体" w:hAnsi="华文宋体" w:eastAsia="华文宋体" w:cs="华文宋体"/>
          <w:b/>
          <w:bCs/>
          <w:color w:val="auto"/>
          <w:sz w:val="80"/>
          <w:szCs w:val="80"/>
          <w:highlight w:val="none"/>
        </w:rPr>
      </w:pPr>
      <w:bookmarkStart w:id="0" w:name="EBd97a963d55784ea39a922f2c677e005e"/>
      <w:r>
        <w:rPr>
          <w:rFonts w:hint="eastAsia" w:ascii="华文宋体" w:hAnsi="华文宋体" w:eastAsia="华文宋体" w:cs="华文宋体"/>
          <w:b/>
          <w:bCs/>
          <w:color w:val="auto"/>
          <w:sz w:val="80"/>
          <w:szCs w:val="80"/>
          <w:highlight w:val="none"/>
        </w:rPr>
        <w:t>竞争性磋商文件</w:t>
      </w:r>
    </w:p>
    <w:p>
      <w:pPr>
        <w:pStyle w:val="47"/>
        <w:jc w:val="center"/>
        <w:rPr>
          <w:rFonts w:hint="eastAsia" w:ascii="华文宋体" w:hAnsi="华文宋体" w:eastAsia="华文宋体" w:cs="华文宋体"/>
          <w:b/>
          <w:bCs/>
          <w:color w:val="auto"/>
          <w:sz w:val="54"/>
          <w:szCs w:val="54"/>
          <w:highlight w:val="none"/>
        </w:rPr>
      </w:pPr>
      <w:r>
        <w:rPr>
          <w:rFonts w:hint="eastAsia" w:ascii="华文宋体" w:hAnsi="华文宋体" w:eastAsia="华文宋体" w:cs="华文宋体"/>
          <w:b/>
          <w:bCs/>
          <w:color w:val="auto"/>
          <w:spacing w:val="-30"/>
          <w:sz w:val="54"/>
          <w:szCs w:val="54"/>
          <w:highlight w:val="none"/>
        </w:rPr>
        <w:t>（ 服 务 ）</w:t>
      </w:r>
    </w:p>
    <w:p>
      <w:pPr>
        <w:pStyle w:val="17"/>
        <w:spacing w:line="360" w:lineRule="auto"/>
        <w:ind w:left="2407" w:leftChars="471" w:hanging="1559" w:hangingChars="519"/>
        <w:jc w:val="right"/>
        <w:rPr>
          <w:rFonts w:hint="eastAsia" w:ascii="华文宋体" w:hAnsi="华文宋体" w:eastAsia="华文宋体" w:cs="华文宋体"/>
          <w:b/>
          <w:bCs/>
          <w:color w:val="auto"/>
          <w:sz w:val="30"/>
          <w:szCs w:val="30"/>
          <w:highlight w:val="none"/>
        </w:rPr>
      </w:pPr>
    </w:p>
    <w:p>
      <w:pPr>
        <w:pStyle w:val="25"/>
        <w:ind w:left="360"/>
        <w:rPr>
          <w:rFonts w:hint="eastAsia" w:ascii="华文宋体" w:hAnsi="华文宋体" w:eastAsia="华文宋体" w:cs="华文宋体"/>
          <w:color w:val="auto"/>
          <w:highlight w:val="none"/>
        </w:rPr>
      </w:pPr>
    </w:p>
    <w:p>
      <w:pPr>
        <w:pStyle w:val="17"/>
        <w:spacing w:line="360" w:lineRule="auto"/>
        <w:ind w:left="2407" w:leftChars="471" w:hanging="1559" w:hangingChars="519"/>
        <w:rPr>
          <w:rFonts w:hint="eastAsia" w:ascii="华文宋体" w:hAnsi="华文宋体" w:eastAsia="华文宋体" w:cs="华文宋体"/>
          <w:b/>
          <w:bCs/>
          <w:color w:val="auto"/>
          <w:sz w:val="30"/>
          <w:szCs w:val="30"/>
          <w:highlight w:val="none"/>
        </w:rPr>
      </w:pPr>
    </w:p>
    <w:tbl>
      <w:tblPr>
        <w:tblStyle w:val="30"/>
        <w:tblW w:w="0" w:type="auto"/>
        <w:jc w:val="center"/>
        <w:tblLayout w:type="fixed"/>
        <w:tblCellMar>
          <w:top w:w="0" w:type="dxa"/>
          <w:left w:w="108" w:type="dxa"/>
          <w:bottom w:w="0" w:type="dxa"/>
          <w:right w:w="108" w:type="dxa"/>
        </w:tblCellMar>
      </w:tblPr>
      <w:tblGrid>
        <w:gridCol w:w="2267"/>
        <w:gridCol w:w="6271"/>
      </w:tblGrid>
      <w:tr>
        <w:tblPrEx>
          <w:tblCellMar>
            <w:top w:w="0" w:type="dxa"/>
            <w:left w:w="108" w:type="dxa"/>
            <w:bottom w:w="0" w:type="dxa"/>
            <w:right w:w="108" w:type="dxa"/>
          </w:tblCellMar>
        </w:tblPrEx>
        <w:trPr>
          <w:trHeight w:val="1295" w:hRule="atLeast"/>
          <w:jc w:val="center"/>
        </w:trPr>
        <w:tc>
          <w:tcPr>
            <w:tcW w:w="2267" w:type="dxa"/>
            <w:noWrap w:val="0"/>
            <w:vAlign w:val="top"/>
          </w:tcPr>
          <w:p>
            <w:pPr>
              <w:pStyle w:val="27"/>
              <w:tabs>
                <w:tab w:val="left" w:pos="2520"/>
              </w:tabs>
              <w:spacing w:before="0" w:beforeAutospacing="0" w:after="0" w:afterAutospacing="0"/>
              <w:ind w:right="-41" w:rightChars="-23"/>
              <w:jc w:val="distribute"/>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lang w:bidi="ar"/>
              </w:rPr>
              <w:t>项目名称</w:t>
            </w:r>
          </w:p>
        </w:tc>
        <w:tc>
          <w:tcPr>
            <w:tcW w:w="6271" w:type="dxa"/>
            <w:noWrap w:val="0"/>
            <w:vAlign w:val="top"/>
          </w:tcPr>
          <w:p>
            <w:pPr>
              <w:pStyle w:val="27"/>
              <w:keepNext w:val="0"/>
              <w:keepLines w:val="0"/>
              <w:pageBreakBefore w:val="0"/>
              <w:widowControl w:val="0"/>
              <w:tabs>
                <w:tab w:val="left" w:pos="1082"/>
                <w:tab w:val="left" w:pos="2520"/>
              </w:tabs>
              <w:kinsoku/>
              <w:wordWrap/>
              <w:overflowPunct/>
              <w:topLinePunct w:val="0"/>
              <w:autoSpaceDE/>
              <w:autoSpaceDN/>
              <w:bidi w:val="0"/>
              <w:adjustRightInd/>
              <w:snapToGrid/>
              <w:spacing w:before="0" w:beforeAutospacing="0" w:after="0" w:afterAutospacing="0" w:line="520" w:lineRule="exact"/>
              <w:ind w:left="0" w:right="-41" w:rightChars="-23" w:hanging="280" w:hangingChars="100"/>
              <w:textAlignment w:val="auto"/>
              <w:rPr>
                <w:rFonts w:hint="eastAsia" w:ascii="华文宋体" w:hAnsi="华文宋体" w:eastAsia="华文宋体" w:cs="华文宋体"/>
                <w:b/>
                <w:color w:val="auto"/>
                <w:sz w:val="28"/>
                <w:szCs w:val="28"/>
                <w:highlight w:val="none"/>
                <w:lang w:bidi="ar"/>
              </w:rPr>
            </w:pPr>
            <w:r>
              <w:rPr>
                <w:rFonts w:hint="eastAsia" w:ascii="华文宋体" w:hAnsi="华文宋体" w:eastAsia="华文宋体" w:cs="华文宋体"/>
                <w:b/>
                <w:color w:val="auto"/>
                <w:sz w:val="28"/>
                <w:szCs w:val="28"/>
                <w:highlight w:val="none"/>
                <w:lang w:bidi="ar"/>
              </w:rPr>
              <w:t>：广东省广州市越秀区消防救援大队2023年消防车辆维修和保养服务采购项目</w:t>
            </w:r>
          </w:p>
        </w:tc>
      </w:tr>
      <w:tr>
        <w:tblPrEx>
          <w:tblCellMar>
            <w:top w:w="0" w:type="dxa"/>
            <w:left w:w="108" w:type="dxa"/>
            <w:bottom w:w="0" w:type="dxa"/>
            <w:right w:w="108" w:type="dxa"/>
          </w:tblCellMar>
        </w:tblPrEx>
        <w:trPr>
          <w:trHeight w:val="729" w:hRule="atLeast"/>
          <w:jc w:val="center"/>
        </w:trPr>
        <w:tc>
          <w:tcPr>
            <w:tcW w:w="2267" w:type="dxa"/>
            <w:noWrap w:val="0"/>
            <w:vAlign w:val="top"/>
          </w:tcPr>
          <w:p>
            <w:pPr>
              <w:pStyle w:val="27"/>
              <w:tabs>
                <w:tab w:val="left" w:pos="2520"/>
              </w:tabs>
              <w:spacing w:before="0" w:beforeAutospacing="0" w:after="0" w:afterAutospacing="0" w:line="360" w:lineRule="auto"/>
              <w:ind w:right="-41" w:rightChars="-23"/>
              <w:jc w:val="distribute"/>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lang w:bidi="ar"/>
              </w:rPr>
              <w:t>项目编号</w:t>
            </w:r>
          </w:p>
        </w:tc>
        <w:tc>
          <w:tcPr>
            <w:tcW w:w="6271" w:type="dxa"/>
            <w:noWrap w:val="0"/>
            <w:vAlign w:val="top"/>
          </w:tcPr>
          <w:p>
            <w:pPr>
              <w:pStyle w:val="27"/>
              <w:tabs>
                <w:tab w:val="left" w:pos="2520"/>
              </w:tabs>
              <w:spacing w:before="0" w:beforeAutospacing="0" w:after="0" w:afterAutospacing="0" w:line="360" w:lineRule="auto"/>
              <w:ind w:right="-41" w:rightChars="-23"/>
              <w:rPr>
                <w:rFonts w:hint="eastAsia" w:ascii="华文宋体" w:hAnsi="华文宋体" w:eastAsia="华文宋体" w:cs="华文宋体"/>
                <w:b/>
                <w:color w:val="auto"/>
                <w:sz w:val="28"/>
                <w:szCs w:val="28"/>
                <w:highlight w:val="none"/>
                <w:lang w:bidi="ar"/>
              </w:rPr>
            </w:pPr>
            <w:r>
              <w:rPr>
                <w:rFonts w:hint="eastAsia" w:ascii="华文宋体" w:hAnsi="华文宋体" w:eastAsia="华文宋体" w:cs="华文宋体"/>
                <w:b/>
                <w:color w:val="auto"/>
                <w:sz w:val="28"/>
                <w:szCs w:val="28"/>
                <w:highlight w:val="none"/>
                <w:lang w:bidi="ar"/>
              </w:rPr>
              <w:t>：GDGC2304CS18</w:t>
            </w:r>
          </w:p>
        </w:tc>
      </w:tr>
      <w:tr>
        <w:tblPrEx>
          <w:tblCellMar>
            <w:top w:w="0" w:type="dxa"/>
            <w:left w:w="108" w:type="dxa"/>
            <w:bottom w:w="0" w:type="dxa"/>
            <w:right w:w="108" w:type="dxa"/>
          </w:tblCellMar>
        </w:tblPrEx>
        <w:trPr>
          <w:trHeight w:val="710" w:hRule="atLeast"/>
          <w:jc w:val="center"/>
        </w:trPr>
        <w:tc>
          <w:tcPr>
            <w:tcW w:w="2267" w:type="dxa"/>
            <w:noWrap w:val="0"/>
            <w:vAlign w:val="top"/>
          </w:tcPr>
          <w:p>
            <w:pPr>
              <w:pStyle w:val="27"/>
              <w:tabs>
                <w:tab w:val="left" w:pos="2520"/>
              </w:tabs>
              <w:spacing w:before="0" w:beforeAutospacing="0" w:after="0" w:afterAutospacing="0" w:line="360" w:lineRule="auto"/>
              <w:ind w:right="-41" w:rightChars="-23"/>
              <w:jc w:val="distribute"/>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lang w:bidi="ar"/>
              </w:rPr>
              <w:t>采购人名称</w:t>
            </w:r>
          </w:p>
        </w:tc>
        <w:tc>
          <w:tcPr>
            <w:tcW w:w="6271" w:type="dxa"/>
            <w:noWrap w:val="0"/>
            <w:vAlign w:val="top"/>
          </w:tcPr>
          <w:p>
            <w:pPr>
              <w:pStyle w:val="27"/>
              <w:tabs>
                <w:tab w:val="left" w:pos="2520"/>
              </w:tabs>
              <w:spacing w:before="0" w:beforeAutospacing="0" w:after="0" w:afterAutospacing="0"/>
              <w:ind w:left="280" w:right="-41" w:rightChars="-23" w:hanging="280" w:hangingChars="100"/>
              <w:rPr>
                <w:rFonts w:hint="eastAsia" w:ascii="华文宋体" w:hAnsi="华文宋体" w:eastAsia="华文宋体" w:cs="华文宋体"/>
                <w:b/>
                <w:color w:val="auto"/>
                <w:sz w:val="28"/>
                <w:szCs w:val="28"/>
                <w:highlight w:val="none"/>
                <w:lang w:bidi="ar"/>
              </w:rPr>
            </w:pPr>
            <w:r>
              <w:rPr>
                <w:rFonts w:hint="eastAsia" w:ascii="华文宋体" w:hAnsi="华文宋体" w:eastAsia="华文宋体" w:cs="华文宋体"/>
                <w:b/>
                <w:color w:val="auto"/>
                <w:sz w:val="28"/>
                <w:szCs w:val="28"/>
                <w:highlight w:val="none"/>
                <w:lang w:bidi="ar"/>
              </w:rPr>
              <w:t>：广州市越秀区消防救援大队</w:t>
            </w:r>
          </w:p>
        </w:tc>
      </w:tr>
      <w:tr>
        <w:tblPrEx>
          <w:tblCellMar>
            <w:top w:w="0" w:type="dxa"/>
            <w:left w:w="108" w:type="dxa"/>
            <w:bottom w:w="0" w:type="dxa"/>
            <w:right w:w="108" w:type="dxa"/>
          </w:tblCellMar>
        </w:tblPrEx>
        <w:trPr>
          <w:trHeight w:val="768" w:hRule="atLeast"/>
          <w:jc w:val="center"/>
        </w:trPr>
        <w:tc>
          <w:tcPr>
            <w:tcW w:w="2267" w:type="dxa"/>
            <w:noWrap w:val="0"/>
            <w:vAlign w:val="top"/>
          </w:tcPr>
          <w:p>
            <w:pPr>
              <w:pStyle w:val="27"/>
              <w:tabs>
                <w:tab w:val="left" w:pos="2520"/>
              </w:tabs>
              <w:spacing w:before="0" w:beforeAutospacing="0" w:after="0" w:afterAutospacing="0" w:line="360" w:lineRule="auto"/>
              <w:ind w:right="-41" w:rightChars="-23"/>
              <w:jc w:val="distribute"/>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lang w:bidi="ar"/>
              </w:rPr>
              <w:t>采购代理机构</w:t>
            </w:r>
          </w:p>
        </w:tc>
        <w:tc>
          <w:tcPr>
            <w:tcW w:w="6271" w:type="dxa"/>
            <w:noWrap w:val="0"/>
            <w:vAlign w:val="top"/>
          </w:tcPr>
          <w:p>
            <w:pPr>
              <w:pStyle w:val="27"/>
              <w:tabs>
                <w:tab w:val="left" w:pos="2520"/>
              </w:tabs>
              <w:spacing w:before="0" w:beforeAutospacing="0" w:after="0" w:afterAutospacing="0" w:line="360" w:lineRule="auto"/>
              <w:ind w:right="-41" w:rightChars="-23"/>
              <w:rPr>
                <w:rFonts w:hint="eastAsia" w:ascii="华文宋体" w:hAnsi="华文宋体" w:eastAsia="华文宋体" w:cs="华文宋体"/>
                <w:b/>
                <w:color w:val="auto"/>
                <w:sz w:val="28"/>
                <w:szCs w:val="28"/>
                <w:highlight w:val="none"/>
                <w:lang w:bidi="ar"/>
              </w:rPr>
            </w:pPr>
            <w:r>
              <w:rPr>
                <w:rFonts w:hint="eastAsia" w:ascii="华文宋体" w:hAnsi="华文宋体" w:eastAsia="华文宋体" w:cs="华文宋体"/>
                <w:b/>
                <w:color w:val="auto"/>
                <w:sz w:val="28"/>
                <w:szCs w:val="28"/>
                <w:highlight w:val="none"/>
                <w:lang w:bidi="ar"/>
              </w:rPr>
              <w:t>：广东公采招标有限公司</w:t>
            </w:r>
          </w:p>
        </w:tc>
      </w:tr>
    </w:tbl>
    <w:p>
      <w:pPr>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highlight w:val="none"/>
        </w:rPr>
      </w:pPr>
    </w:p>
    <w:p>
      <w:pPr>
        <w:rPr>
          <w:rFonts w:hint="eastAsia" w:ascii="华文宋体" w:hAnsi="华文宋体" w:eastAsia="华文宋体" w:cs="华文宋体"/>
          <w:b/>
          <w:color w:val="auto"/>
          <w:highlight w:val="none"/>
        </w:rPr>
      </w:pPr>
      <w:r>
        <w:rPr>
          <w:rFonts w:hint="eastAsia" w:ascii="华文宋体" w:hAnsi="华文宋体" w:eastAsia="华文宋体" w:cs="华文宋体"/>
          <w:b/>
          <w:color w:val="auto"/>
          <w:highlight w:val="none"/>
        </w:rPr>
        <w:br w:type="textWrapping"/>
      </w:r>
    </w:p>
    <w:p>
      <w:pPr>
        <w:pStyle w:val="25"/>
        <w:ind w:left="360"/>
        <w:rPr>
          <w:rFonts w:hint="eastAsia" w:ascii="华文宋体" w:hAnsi="华文宋体" w:eastAsia="华文宋体" w:cs="华文宋体"/>
          <w:color w:val="auto"/>
          <w:highlight w:val="none"/>
        </w:rPr>
      </w:pPr>
    </w:p>
    <w:p>
      <w:pPr>
        <w:pStyle w:val="47"/>
        <w:rPr>
          <w:rFonts w:hint="eastAsia" w:ascii="华文宋体" w:hAnsi="华文宋体" w:eastAsia="华文宋体" w:cs="华文宋体"/>
          <w:color w:val="auto"/>
          <w:highlight w:val="none"/>
        </w:rPr>
      </w:pPr>
    </w:p>
    <w:p>
      <w:pPr>
        <w:spacing w:line="360" w:lineRule="auto"/>
        <w:jc w:val="center"/>
        <w:rPr>
          <w:rFonts w:hint="eastAsia" w:ascii="华文宋体" w:hAnsi="华文宋体" w:eastAsia="华文宋体" w:cs="华文宋体"/>
          <w:b/>
          <w:bCs/>
          <w:color w:val="auto"/>
          <w:sz w:val="32"/>
          <w:szCs w:val="32"/>
          <w:highlight w:val="none"/>
        </w:rPr>
      </w:pPr>
      <w:r>
        <w:rPr>
          <w:rFonts w:hint="eastAsia" w:ascii="华文宋体" w:hAnsi="华文宋体" w:eastAsia="华文宋体" w:cs="华文宋体"/>
          <w:color w:val="auto"/>
          <w:sz w:val="28"/>
          <w:szCs w:val="28"/>
          <w:highlight w:val="none"/>
        </w:rPr>
        <w:drawing>
          <wp:inline distT="0" distB="0" distL="114300" distR="114300">
            <wp:extent cx="2988945" cy="1109345"/>
            <wp:effectExtent l="0" t="0" r="1905" b="14605"/>
            <wp:docPr id="1" name="图片 1" descr="smallbackground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mallbackground副本"/>
                    <pic:cNvPicPr>
                      <a:picLocks noChangeAspect="1"/>
                    </pic:cNvPicPr>
                  </pic:nvPicPr>
                  <pic:blipFill>
                    <a:blip r:embed="rId16"/>
                    <a:stretch>
                      <a:fillRect/>
                    </a:stretch>
                  </pic:blipFill>
                  <pic:spPr>
                    <a:xfrm>
                      <a:off x="0" y="0"/>
                      <a:ext cx="2988945" cy="1109345"/>
                    </a:xfrm>
                    <a:prstGeom prst="rect">
                      <a:avLst/>
                    </a:prstGeom>
                    <a:noFill/>
                    <a:ln>
                      <a:noFill/>
                    </a:ln>
                  </pic:spPr>
                </pic:pic>
              </a:graphicData>
            </a:graphic>
          </wp:inline>
        </w:drawing>
      </w:r>
    </w:p>
    <w:p>
      <w:pPr>
        <w:spacing w:line="360" w:lineRule="auto"/>
        <w:jc w:val="center"/>
        <w:rPr>
          <w:rFonts w:hint="eastAsia" w:ascii="华文宋体" w:hAnsi="华文宋体" w:eastAsia="华文宋体" w:cs="华文宋体"/>
          <w:color w:val="auto"/>
          <w:sz w:val="30"/>
          <w:szCs w:val="30"/>
          <w:highlight w:val="none"/>
        </w:rPr>
        <w:sectPr>
          <w:headerReference r:id="rId4" w:type="first"/>
          <w:footerReference r:id="rId7" w:type="first"/>
          <w:headerReference r:id="rId3" w:type="default"/>
          <w:footerReference r:id="rId5" w:type="default"/>
          <w:footerReference r:id="rId6" w:type="even"/>
          <w:pgSz w:w="11906" w:h="16838"/>
          <w:pgMar w:top="1610" w:right="1293" w:bottom="1553" w:left="1349" w:header="850" w:footer="992" w:gutter="0"/>
          <w:cols w:space="0" w:num="1"/>
          <w:rtlGutter w:val="0"/>
          <w:docGrid w:type="lines" w:linePitch="312" w:charSpace="0"/>
        </w:sectPr>
      </w:pPr>
      <w:r>
        <w:rPr>
          <w:rFonts w:hint="eastAsia" w:ascii="华文宋体" w:hAnsi="华文宋体" w:eastAsia="华文宋体" w:cs="华文宋体"/>
          <w:b/>
          <w:bCs/>
          <w:color w:val="auto"/>
          <w:sz w:val="30"/>
          <w:szCs w:val="30"/>
          <w:highlight w:val="none"/>
        </w:rPr>
        <w:t>2023年</w:t>
      </w:r>
      <w:r>
        <w:rPr>
          <w:rFonts w:hint="eastAsia" w:ascii="华文宋体" w:hAnsi="华文宋体" w:eastAsia="华文宋体" w:cs="华文宋体"/>
          <w:b/>
          <w:bCs/>
          <w:color w:val="auto"/>
          <w:sz w:val="30"/>
          <w:szCs w:val="30"/>
          <w:highlight w:val="none"/>
          <w:lang w:val="en-US" w:eastAsia="zh-CN"/>
        </w:rPr>
        <w:t>04</w:t>
      </w:r>
      <w:r>
        <w:rPr>
          <w:rFonts w:hint="eastAsia" w:ascii="华文宋体" w:hAnsi="华文宋体" w:eastAsia="华文宋体" w:cs="华文宋体"/>
          <w:b/>
          <w:bCs/>
          <w:color w:val="auto"/>
          <w:sz w:val="30"/>
          <w:szCs w:val="30"/>
          <w:highlight w:val="none"/>
        </w:rPr>
        <w:t>月</w:t>
      </w:r>
    </w:p>
    <w:bookmarkEnd w:id="0"/>
    <w:p>
      <w:pPr>
        <w:pStyle w:val="2"/>
        <w:rPr>
          <w:rFonts w:hint="eastAsia" w:ascii="华文宋体" w:hAnsi="华文宋体" w:eastAsia="华文宋体" w:cs="华文宋体"/>
          <w:color w:val="auto"/>
          <w:highlight w:val="none"/>
          <w:lang w:eastAsia="zh-CN"/>
        </w:rPr>
      </w:pPr>
    </w:p>
    <w:p>
      <w:pPr>
        <w:spacing w:before="156" w:beforeLines="50"/>
        <w:jc w:val="center"/>
        <w:rPr>
          <w:rFonts w:hint="eastAsia" w:ascii="华文宋体" w:hAnsi="华文宋体" w:eastAsia="华文宋体" w:cs="华文宋体"/>
          <w:b/>
          <w:bCs/>
          <w:color w:val="auto"/>
          <w:sz w:val="34"/>
          <w:szCs w:val="34"/>
          <w:highlight w:val="none"/>
        </w:rPr>
      </w:pPr>
      <w:r>
        <w:rPr>
          <w:rFonts w:hint="eastAsia" w:ascii="华文宋体" w:hAnsi="华文宋体" w:eastAsia="华文宋体" w:cs="华文宋体"/>
          <w:b/>
          <w:bCs/>
          <w:color w:val="auto"/>
          <w:sz w:val="34"/>
          <w:szCs w:val="34"/>
          <w:highlight w:val="none"/>
        </w:rPr>
        <w:t>温馨提示：供应商报价特别注意事项</w:t>
      </w:r>
    </w:p>
    <w:p>
      <w:pPr>
        <w:jc w:val="center"/>
        <w:rPr>
          <w:rFonts w:hint="eastAsia" w:ascii="华文宋体" w:hAnsi="华文宋体" w:eastAsia="华文宋体" w:cs="华文宋体"/>
          <w:color w:val="auto"/>
          <w:sz w:val="36"/>
          <w:szCs w:val="36"/>
          <w:highlight w:val="none"/>
        </w:rPr>
      </w:pPr>
    </w:p>
    <w:p>
      <w:pPr>
        <w:numPr>
          <w:ilvl w:val="0"/>
          <w:numId w:val="2"/>
        </w:numPr>
        <w:tabs>
          <w:tab w:val="left" w:pos="1080"/>
        </w:tabs>
        <w:spacing w:line="440" w:lineRule="exact"/>
        <w:rPr>
          <w:rStyle w:val="49"/>
          <w:rFonts w:hint="eastAsia" w:ascii="华文宋体" w:hAnsi="华文宋体" w:eastAsia="华文宋体" w:cs="华文宋体"/>
          <w:color w:val="auto"/>
          <w:sz w:val="22"/>
          <w:szCs w:val="22"/>
          <w:highlight w:val="none"/>
        </w:rPr>
      </w:pPr>
      <w:r>
        <w:rPr>
          <w:rFonts w:hint="eastAsia" w:ascii="华文宋体" w:hAnsi="华文宋体" w:eastAsia="华文宋体" w:cs="华文宋体"/>
          <w:color w:val="auto"/>
          <w:sz w:val="22"/>
          <w:highlight w:val="none"/>
        </w:rPr>
        <w:t>请供应商特别留意竞争性磋商文件上注明的</w:t>
      </w:r>
      <w:r>
        <w:rPr>
          <w:rFonts w:hint="eastAsia" w:ascii="华文宋体" w:hAnsi="华文宋体" w:eastAsia="华文宋体" w:cs="华文宋体"/>
          <w:b/>
          <w:color w:val="auto"/>
          <w:sz w:val="22"/>
          <w:highlight w:val="none"/>
        </w:rPr>
        <w:t>递交磋商响应文件的</w:t>
      </w:r>
      <w:r>
        <w:rPr>
          <w:rFonts w:hint="eastAsia" w:ascii="华文宋体" w:hAnsi="华文宋体" w:eastAsia="华文宋体" w:cs="华文宋体"/>
          <w:b/>
          <w:bCs/>
          <w:color w:val="auto"/>
          <w:sz w:val="22"/>
          <w:highlight w:val="none"/>
        </w:rPr>
        <w:t>截止时间和地点</w:t>
      </w:r>
      <w:r>
        <w:rPr>
          <w:rFonts w:hint="eastAsia" w:ascii="华文宋体" w:hAnsi="华文宋体" w:eastAsia="华文宋体" w:cs="华文宋体"/>
          <w:color w:val="auto"/>
          <w:sz w:val="22"/>
          <w:highlight w:val="none"/>
        </w:rPr>
        <w:t>，逾期送达的磋商响应文件本公司恕不接收。递交磋商响应文件的截止时间即使仅过了1秒钟，本公司也不再接收任何磋商响应文件。因此，请供应商适当提前到达递交磋商响应文件的地点。</w:t>
      </w:r>
    </w:p>
    <w:p>
      <w:pPr>
        <w:numPr>
          <w:ilvl w:val="0"/>
          <w:numId w:val="2"/>
        </w:numPr>
        <w:tabs>
          <w:tab w:val="left" w:pos="1080"/>
        </w:tabs>
        <w:spacing w:line="44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请正确填写《</w:t>
      </w:r>
      <w:r>
        <w:rPr>
          <w:rFonts w:hint="eastAsia" w:ascii="华文宋体" w:hAnsi="华文宋体" w:eastAsia="华文宋体" w:cs="华文宋体"/>
          <w:bCs/>
          <w:color w:val="auto"/>
          <w:sz w:val="22"/>
          <w:highlight w:val="none"/>
        </w:rPr>
        <w:t>初次报价一览表</w:t>
      </w:r>
      <w:r>
        <w:rPr>
          <w:rFonts w:hint="eastAsia" w:ascii="华文宋体" w:hAnsi="华文宋体" w:eastAsia="华文宋体" w:cs="华文宋体"/>
          <w:color w:val="auto"/>
          <w:sz w:val="22"/>
          <w:highlight w:val="none"/>
        </w:rPr>
        <w:t>》，封装在单独的报价信封当中。</w:t>
      </w:r>
      <w:bookmarkStart w:id="1" w:name="_Hlk519112088"/>
      <w:r>
        <w:rPr>
          <w:rFonts w:hint="eastAsia" w:ascii="华文宋体" w:hAnsi="华文宋体" w:eastAsia="华文宋体" w:cs="华文宋体"/>
          <w:color w:val="auto"/>
          <w:sz w:val="22"/>
          <w:highlight w:val="none"/>
        </w:rPr>
        <w:t>如兼投多个包组，不同包组的上述文件须分置于不同的信封中。</w:t>
      </w:r>
      <w:bookmarkEnd w:id="1"/>
    </w:p>
    <w:p>
      <w:pPr>
        <w:numPr>
          <w:ilvl w:val="0"/>
          <w:numId w:val="2"/>
        </w:numPr>
        <w:tabs>
          <w:tab w:val="left" w:pos="1080"/>
        </w:tabs>
        <w:spacing w:line="440" w:lineRule="exact"/>
        <w:rPr>
          <w:rFonts w:hint="eastAsia" w:ascii="华文宋体" w:hAnsi="华文宋体" w:eastAsia="华文宋体" w:cs="华文宋体"/>
          <w:color w:val="auto"/>
          <w:sz w:val="22"/>
          <w:highlight w:val="none"/>
        </w:rPr>
      </w:pPr>
      <w:bookmarkStart w:id="2" w:name="_Hlk517366701"/>
      <w:r>
        <w:rPr>
          <w:rFonts w:hint="eastAsia" w:ascii="华文宋体" w:hAnsi="华文宋体" w:eastAsia="华文宋体" w:cs="华文宋体"/>
          <w:color w:val="auto"/>
          <w:sz w:val="22"/>
          <w:highlight w:val="none"/>
        </w:rPr>
        <w:t>请仔细检查《法定代表人证明书》《法定代表人授权委托书》《磋商响应声明》《</w:t>
      </w:r>
      <w:r>
        <w:rPr>
          <w:rFonts w:hint="eastAsia" w:ascii="华文宋体" w:hAnsi="华文宋体" w:eastAsia="华文宋体" w:cs="华文宋体"/>
          <w:bCs/>
          <w:color w:val="auto"/>
          <w:sz w:val="22"/>
          <w:highlight w:val="none"/>
        </w:rPr>
        <w:t>初次报价一览表</w:t>
      </w:r>
      <w:r>
        <w:rPr>
          <w:rFonts w:hint="eastAsia" w:ascii="华文宋体" w:hAnsi="华文宋体" w:eastAsia="华文宋体" w:cs="华文宋体"/>
          <w:color w:val="auto"/>
          <w:sz w:val="22"/>
          <w:highlight w:val="none"/>
        </w:rPr>
        <w:t>》等重要格式文件是否有按要求盖公司公章、签名、签署日期。</w:t>
      </w:r>
      <w:r>
        <w:rPr>
          <w:rFonts w:hint="eastAsia" w:ascii="华文宋体" w:hAnsi="华文宋体" w:eastAsia="华文宋体" w:cs="华文宋体"/>
          <w:color w:val="auto"/>
          <w:sz w:val="22"/>
          <w:highlight w:val="none"/>
          <w:lang w:val="en-GB"/>
        </w:rPr>
        <w:t>磋商响应文件需签名之处必须由当事人亲笔签署（《</w:t>
      </w:r>
      <w:r>
        <w:rPr>
          <w:rFonts w:hint="eastAsia" w:ascii="华文宋体" w:hAnsi="华文宋体" w:eastAsia="华文宋体" w:cs="华文宋体"/>
          <w:color w:val="auto"/>
          <w:sz w:val="22"/>
          <w:highlight w:val="none"/>
        </w:rPr>
        <w:t>法定代表人授权委托书》必须有法定代表人的签名）。</w:t>
      </w:r>
      <w:bookmarkEnd w:id="2"/>
    </w:p>
    <w:p>
      <w:pPr>
        <w:numPr>
          <w:ilvl w:val="0"/>
          <w:numId w:val="2"/>
        </w:numPr>
        <w:tabs>
          <w:tab w:val="left" w:pos="1080"/>
        </w:tabs>
        <w:spacing w:line="44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以联合体形式投标的，联合体成员必须签订《联合体响应协议书》并收入响应文件中。</w:t>
      </w:r>
    </w:p>
    <w:p>
      <w:pPr>
        <w:numPr>
          <w:ilvl w:val="0"/>
          <w:numId w:val="2"/>
        </w:numPr>
        <w:tabs>
          <w:tab w:val="left" w:pos="1080"/>
        </w:tabs>
        <w:spacing w:line="440" w:lineRule="exact"/>
        <w:rPr>
          <w:rFonts w:hint="eastAsia" w:ascii="华文宋体" w:hAnsi="华文宋体" w:eastAsia="华文宋体" w:cs="华文宋体"/>
          <w:color w:val="auto"/>
          <w:sz w:val="22"/>
          <w:highlight w:val="none"/>
          <w:lang w:val="zh-CN"/>
        </w:rPr>
      </w:pPr>
      <w:r>
        <w:rPr>
          <w:rFonts w:hint="eastAsia" w:ascii="华文宋体" w:hAnsi="华文宋体" w:eastAsia="华文宋体" w:cs="华文宋体"/>
          <w:color w:val="auto"/>
          <w:sz w:val="22"/>
          <w:highlight w:val="none"/>
          <w:lang w:val="zh-CN"/>
        </w:rPr>
        <w:t>加“</w:t>
      </w:r>
      <w:r>
        <w:rPr>
          <w:rFonts w:hint="eastAsia" w:ascii="华文宋体" w:hAnsi="华文宋体" w:eastAsia="华文宋体" w:cs="华文宋体"/>
          <w:color w:val="auto"/>
          <w:sz w:val="22"/>
          <w:highlight w:val="none"/>
        </w:rPr>
        <w:t>★</w:t>
      </w:r>
      <w:r>
        <w:rPr>
          <w:rFonts w:hint="eastAsia" w:ascii="华文宋体" w:hAnsi="华文宋体" w:eastAsia="华文宋体" w:cs="华文宋体"/>
          <w:color w:val="auto"/>
          <w:sz w:val="22"/>
          <w:highlight w:val="none"/>
          <w:lang w:val="zh-CN"/>
        </w:rPr>
        <w:t>”号的条款必须一一响应，加“</w:t>
      </w:r>
      <w:r>
        <w:rPr>
          <w:rFonts w:hint="eastAsia" w:ascii="华文宋体" w:hAnsi="华文宋体" w:eastAsia="华文宋体" w:cs="华文宋体"/>
          <w:color w:val="auto"/>
          <w:sz w:val="22"/>
          <w:highlight w:val="none"/>
        </w:rPr>
        <w:t>▲</w:t>
      </w:r>
      <w:r>
        <w:rPr>
          <w:rFonts w:hint="eastAsia" w:ascii="华文宋体" w:hAnsi="华文宋体" w:eastAsia="华文宋体" w:cs="华文宋体"/>
          <w:color w:val="auto"/>
          <w:sz w:val="22"/>
          <w:highlight w:val="none"/>
          <w:lang w:val="zh-CN"/>
        </w:rPr>
        <w:t>”号的条款为评分重要指标，如果不满足将严重扣分。</w:t>
      </w:r>
    </w:p>
    <w:p>
      <w:pPr>
        <w:numPr>
          <w:ilvl w:val="0"/>
          <w:numId w:val="2"/>
        </w:numPr>
        <w:tabs>
          <w:tab w:val="left" w:pos="1080"/>
        </w:tabs>
        <w:spacing w:line="440" w:lineRule="exact"/>
        <w:rPr>
          <w:rFonts w:hint="eastAsia" w:ascii="华文宋体" w:hAnsi="华文宋体" w:eastAsia="华文宋体" w:cs="华文宋体"/>
          <w:color w:val="auto"/>
          <w:sz w:val="22"/>
          <w:highlight w:val="none"/>
          <w:lang w:val="zh-CN"/>
        </w:rPr>
      </w:pPr>
      <w:r>
        <w:rPr>
          <w:rFonts w:hint="eastAsia" w:ascii="华文宋体" w:hAnsi="华文宋体" w:eastAsia="华文宋体" w:cs="华文宋体"/>
          <w:color w:val="auto"/>
          <w:sz w:val="22"/>
          <w:highlight w:val="none"/>
          <w:lang w:val="zh-CN"/>
        </w:rPr>
        <w:t>磋商小组认为响应供应商的报价明显低于其他通过初步评审响应供应商的报价，有可能影响产品质量或者不能诚信履约的，供应商应当按磋商小组的要求，在评审现场合理的时间内提供书面说明，必要时提交相关证明材料；响应供应商不能证明其报价合理性的，磋商小组应当将其作为无效响应处理。</w:t>
      </w:r>
    </w:p>
    <w:p>
      <w:pPr>
        <w:numPr>
          <w:ilvl w:val="0"/>
          <w:numId w:val="2"/>
        </w:numPr>
        <w:tabs>
          <w:tab w:val="left" w:pos="1080"/>
        </w:tabs>
        <w:spacing w:line="440" w:lineRule="exact"/>
        <w:rPr>
          <w:rFonts w:hint="eastAsia" w:ascii="华文宋体" w:hAnsi="华文宋体" w:eastAsia="华文宋体" w:cs="华文宋体"/>
          <w:color w:val="auto"/>
          <w:sz w:val="22"/>
          <w:highlight w:val="none"/>
          <w:lang w:val="zh-CN"/>
        </w:rPr>
      </w:pPr>
      <w:r>
        <w:rPr>
          <w:rFonts w:hint="eastAsia" w:ascii="华文宋体" w:hAnsi="华文宋体" w:eastAsia="华文宋体" w:cs="华文宋体"/>
          <w:color w:val="auto"/>
          <w:sz w:val="22"/>
          <w:highlight w:val="none"/>
          <w:lang w:val="zh-CN"/>
        </w:rPr>
        <w:t>对可接受分公司参加的项目，分公司参加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p>
    <w:p>
      <w:pPr>
        <w:numPr>
          <w:ilvl w:val="0"/>
          <w:numId w:val="2"/>
        </w:numPr>
        <w:tabs>
          <w:tab w:val="left" w:pos="1080"/>
        </w:tabs>
        <w:spacing w:line="440" w:lineRule="exact"/>
        <w:rPr>
          <w:rFonts w:hint="eastAsia" w:ascii="华文宋体" w:hAnsi="华文宋体" w:eastAsia="华文宋体" w:cs="华文宋体"/>
          <w:color w:val="auto"/>
          <w:sz w:val="22"/>
          <w:highlight w:val="none"/>
          <w:lang w:val="zh-CN"/>
        </w:rPr>
      </w:pPr>
      <w:r>
        <w:rPr>
          <w:rFonts w:hint="eastAsia" w:ascii="华文宋体" w:hAnsi="华文宋体" w:eastAsia="华文宋体" w:cs="华文宋体"/>
          <w:color w:val="auto"/>
          <w:sz w:val="22"/>
          <w:highlight w:val="none"/>
          <w:lang w:val="zh-CN"/>
        </w:rPr>
        <w:t>磋商响应文件建议采用A4纸、双面打印、胶装，按顺序编制页码。递交磋商响应文件前请仔细检查响应文件是否已胶装成册、已密封完好。多包组项目同时响应多个包组的，建议按包组分别装订。</w:t>
      </w:r>
    </w:p>
    <w:p>
      <w:pPr>
        <w:numPr>
          <w:ilvl w:val="0"/>
          <w:numId w:val="2"/>
        </w:numPr>
        <w:tabs>
          <w:tab w:val="left" w:pos="1080"/>
        </w:tabs>
        <w:spacing w:line="44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报名获取采购文件而不参加竞争性磋商的公司，请在递交磋商响应文件的截止时间前3日以书面形式通知采购代理机构。</w:t>
      </w:r>
    </w:p>
    <w:p>
      <w:pPr>
        <w:spacing w:line="440" w:lineRule="exact"/>
        <w:ind w:firstLine="440" w:firstLineChars="200"/>
        <w:rPr>
          <w:rFonts w:hint="eastAsia" w:ascii="华文宋体" w:hAnsi="华文宋体" w:eastAsia="华文宋体" w:cs="华文宋体"/>
          <w:color w:val="auto"/>
          <w:sz w:val="22"/>
          <w:highlight w:val="none"/>
          <w:lang w:val="zh-CN"/>
        </w:rPr>
      </w:pPr>
      <w:r>
        <w:rPr>
          <w:rFonts w:hint="eastAsia" w:ascii="华文宋体" w:hAnsi="华文宋体" w:eastAsia="华文宋体" w:cs="华文宋体"/>
          <w:color w:val="auto"/>
          <w:sz w:val="22"/>
          <w:highlight w:val="none"/>
          <w:lang w:val="zh-CN"/>
        </w:rPr>
        <w:t>（本提示内容非竞争性磋商文件的组成部分，仅为善意提醒。如有不一致，以竞争性磋商文件为准。）</w:t>
      </w:r>
    </w:p>
    <w:p>
      <w:pPr>
        <w:spacing w:line="360" w:lineRule="auto"/>
        <w:jc w:val="center"/>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lang w:val="zh-CN"/>
        </w:rPr>
        <w:br w:type="page"/>
      </w:r>
    </w:p>
    <w:p>
      <w:pPr>
        <w:ind w:left="739" w:leftChars="398" w:hanging="23"/>
        <w:jc w:val="center"/>
        <w:rPr>
          <w:rFonts w:hint="eastAsia" w:ascii="华文宋体" w:hAnsi="华文宋体" w:eastAsia="华文宋体" w:cs="华文宋体"/>
          <w:color w:val="auto"/>
          <w:highlight w:val="none"/>
        </w:rPr>
      </w:pPr>
    </w:p>
    <w:p>
      <w:pPr>
        <w:spacing w:after="156" w:afterLines="50"/>
        <w:jc w:val="center"/>
        <w:rPr>
          <w:rFonts w:hint="eastAsia" w:ascii="华文宋体" w:hAnsi="华文宋体" w:eastAsia="华文宋体" w:cs="华文宋体"/>
          <w:b/>
          <w:bCs/>
          <w:color w:val="auto"/>
          <w:sz w:val="36"/>
          <w:szCs w:val="36"/>
          <w:highlight w:val="none"/>
        </w:rPr>
      </w:pPr>
      <w:r>
        <w:rPr>
          <w:rFonts w:hint="eastAsia" w:ascii="华文宋体" w:hAnsi="华文宋体" w:eastAsia="华文宋体" w:cs="华文宋体"/>
          <w:b/>
          <w:bCs/>
          <w:color w:val="auto"/>
          <w:sz w:val="36"/>
          <w:szCs w:val="36"/>
          <w:highlight w:val="none"/>
        </w:rPr>
        <w:t>目 录</w:t>
      </w:r>
    </w:p>
    <w:p>
      <w:pPr>
        <w:rPr>
          <w:rFonts w:hint="eastAsia" w:ascii="华文宋体" w:hAnsi="华文宋体" w:eastAsia="华文宋体" w:cs="华文宋体"/>
          <w:color w:val="auto"/>
          <w:highlight w:val="none"/>
        </w:rPr>
      </w:pPr>
    </w:p>
    <w:p>
      <w:pPr>
        <w:pStyle w:val="2"/>
        <w:rPr>
          <w:rFonts w:hint="eastAsia" w:ascii="华文宋体" w:hAnsi="华文宋体" w:eastAsia="华文宋体" w:cs="华文宋体"/>
          <w:color w:val="auto"/>
          <w:highlight w:val="none"/>
        </w:rPr>
      </w:pPr>
    </w:p>
    <w:p>
      <w:pPr>
        <w:pStyle w:val="22"/>
        <w:tabs>
          <w:tab w:val="right" w:leader="dot" w:pos="9000"/>
        </w:tabs>
        <w:spacing w:after="156" w:afterLines="50"/>
        <w:rPr>
          <w:rFonts w:hint="eastAsia" w:ascii="华文宋体" w:hAnsi="华文宋体" w:eastAsia="华文宋体" w:cs="华文宋体"/>
          <w:color w:val="auto"/>
          <w:sz w:val="27"/>
          <w:szCs w:val="27"/>
          <w:highlight w:val="none"/>
        </w:rPr>
      </w:pPr>
      <w:bookmarkStart w:id="3" w:name="EB98856677413d47c3955624c381d111d5"/>
      <w:bookmarkEnd w:id="3"/>
      <w:bookmarkStart w:id="4" w:name="EB1180e1e05f054f79bc3a335c1bd8e577"/>
      <w:bookmarkEnd w:id="4"/>
      <w:bookmarkStart w:id="5" w:name="_Toc401575137"/>
      <w:bookmarkStart w:id="6" w:name="_Toc175644384"/>
      <w:r>
        <w:rPr>
          <w:rFonts w:hint="eastAsia" w:ascii="华文宋体" w:hAnsi="华文宋体" w:eastAsia="华文宋体" w:cs="华文宋体"/>
          <w:bCs/>
          <w:color w:val="auto"/>
          <w:sz w:val="27"/>
          <w:szCs w:val="27"/>
          <w:highlight w:val="none"/>
        </w:rPr>
        <w:fldChar w:fldCharType="begin"/>
      </w:r>
      <w:r>
        <w:rPr>
          <w:rFonts w:hint="eastAsia" w:ascii="华文宋体" w:hAnsi="华文宋体" w:eastAsia="华文宋体" w:cs="华文宋体"/>
          <w:bCs/>
          <w:color w:val="auto"/>
          <w:sz w:val="27"/>
          <w:szCs w:val="27"/>
          <w:highlight w:val="none"/>
        </w:rPr>
        <w:instrText xml:space="preserve">TOC \o "1-1" \h \u </w:instrText>
      </w:r>
      <w:r>
        <w:rPr>
          <w:rFonts w:hint="eastAsia" w:ascii="华文宋体" w:hAnsi="华文宋体" w:eastAsia="华文宋体" w:cs="华文宋体"/>
          <w:bCs/>
          <w:color w:val="auto"/>
          <w:sz w:val="27"/>
          <w:szCs w:val="27"/>
          <w:highlight w:val="none"/>
        </w:rPr>
        <w:fldChar w:fldCharType="separate"/>
      </w:r>
      <w:r>
        <w:rPr>
          <w:rFonts w:hint="eastAsia" w:ascii="华文宋体" w:hAnsi="华文宋体" w:eastAsia="华文宋体" w:cs="华文宋体"/>
          <w:bCs/>
          <w:color w:val="auto"/>
          <w:sz w:val="27"/>
          <w:szCs w:val="27"/>
          <w:highlight w:val="none"/>
        </w:rPr>
        <w:fldChar w:fldCharType="begin"/>
      </w:r>
      <w:r>
        <w:rPr>
          <w:rFonts w:hint="eastAsia" w:ascii="华文宋体" w:hAnsi="华文宋体" w:eastAsia="华文宋体" w:cs="华文宋体"/>
          <w:bCs/>
          <w:color w:val="auto"/>
          <w:sz w:val="27"/>
          <w:szCs w:val="27"/>
          <w:highlight w:val="none"/>
        </w:rPr>
        <w:instrText xml:space="preserve"> HYPERLINK \l _Toc19440 </w:instrText>
      </w:r>
      <w:r>
        <w:rPr>
          <w:rFonts w:hint="eastAsia" w:ascii="华文宋体" w:hAnsi="华文宋体" w:eastAsia="华文宋体" w:cs="华文宋体"/>
          <w:bCs/>
          <w:color w:val="auto"/>
          <w:sz w:val="27"/>
          <w:szCs w:val="27"/>
          <w:highlight w:val="none"/>
        </w:rPr>
        <w:fldChar w:fldCharType="separate"/>
      </w:r>
      <w:r>
        <w:rPr>
          <w:rFonts w:hint="eastAsia" w:ascii="华文宋体" w:hAnsi="华文宋体" w:eastAsia="华文宋体" w:cs="华文宋体"/>
          <w:color w:val="auto"/>
          <w:sz w:val="27"/>
          <w:szCs w:val="27"/>
          <w:highlight w:val="none"/>
        </w:rPr>
        <w:t>第一章 磋商邀请</w:t>
      </w:r>
      <w:r>
        <w:rPr>
          <w:rFonts w:hint="eastAsia" w:ascii="华文宋体" w:hAnsi="华文宋体" w:eastAsia="华文宋体" w:cs="华文宋体"/>
          <w:color w:val="auto"/>
          <w:sz w:val="27"/>
          <w:szCs w:val="27"/>
          <w:highlight w:val="none"/>
        </w:rPr>
        <w:tab/>
      </w:r>
      <w:r>
        <w:rPr>
          <w:rFonts w:hint="eastAsia" w:ascii="华文宋体" w:hAnsi="华文宋体" w:eastAsia="华文宋体" w:cs="华文宋体"/>
          <w:bCs/>
          <w:color w:val="auto"/>
          <w:sz w:val="27"/>
          <w:szCs w:val="27"/>
          <w:highlight w:val="none"/>
        </w:rPr>
        <w:fldChar w:fldCharType="end"/>
      </w:r>
      <w:r>
        <w:rPr>
          <w:rFonts w:hint="eastAsia" w:ascii="华文宋体" w:hAnsi="华文宋体" w:eastAsia="华文宋体" w:cs="华文宋体"/>
          <w:bCs/>
          <w:color w:val="auto"/>
          <w:sz w:val="27"/>
          <w:szCs w:val="27"/>
          <w:highlight w:val="none"/>
        </w:rPr>
        <w:t>4</w:t>
      </w:r>
    </w:p>
    <w:p>
      <w:pPr>
        <w:pStyle w:val="22"/>
        <w:tabs>
          <w:tab w:val="right" w:leader="dot" w:pos="9000"/>
        </w:tabs>
        <w:spacing w:after="156" w:afterLines="50"/>
        <w:rPr>
          <w:rFonts w:hint="eastAsia" w:ascii="华文宋体" w:hAnsi="华文宋体" w:eastAsia="华文宋体" w:cs="华文宋体"/>
          <w:color w:val="auto"/>
          <w:sz w:val="27"/>
          <w:szCs w:val="27"/>
          <w:highlight w:val="none"/>
        </w:rPr>
      </w:pPr>
      <w:r>
        <w:rPr>
          <w:rFonts w:hint="eastAsia" w:ascii="华文宋体" w:hAnsi="华文宋体" w:eastAsia="华文宋体" w:cs="华文宋体"/>
          <w:bCs/>
          <w:color w:val="auto"/>
          <w:sz w:val="27"/>
          <w:szCs w:val="27"/>
          <w:highlight w:val="none"/>
        </w:rPr>
        <w:fldChar w:fldCharType="begin"/>
      </w:r>
      <w:r>
        <w:rPr>
          <w:rFonts w:hint="eastAsia" w:ascii="华文宋体" w:hAnsi="华文宋体" w:eastAsia="华文宋体" w:cs="华文宋体"/>
          <w:bCs/>
          <w:color w:val="auto"/>
          <w:sz w:val="27"/>
          <w:szCs w:val="27"/>
          <w:highlight w:val="none"/>
        </w:rPr>
        <w:instrText xml:space="preserve"> HYPERLINK \l _Toc28565 </w:instrText>
      </w:r>
      <w:r>
        <w:rPr>
          <w:rFonts w:hint="eastAsia" w:ascii="华文宋体" w:hAnsi="华文宋体" w:eastAsia="华文宋体" w:cs="华文宋体"/>
          <w:bCs/>
          <w:color w:val="auto"/>
          <w:sz w:val="27"/>
          <w:szCs w:val="27"/>
          <w:highlight w:val="none"/>
        </w:rPr>
        <w:fldChar w:fldCharType="separate"/>
      </w:r>
      <w:r>
        <w:rPr>
          <w:rFonts w:hint="eastAsia" w:ascii="华文宋体" w:hAnsi="华文宋体" w:eastAsia="华文宋体" w:cs="华文宋体"/>
          <w:color w:val="auto"/>
          <w:sz w:val="27"/>
          <w:szCs w:val="27"/>
          <w:highlight w:val="none"/>
        </w:rPr>
        <w:t>第二章 项目采购需求</w:t>
      </w:r>
      <w:r>
        <w:rPr>
          <w:rFonts w:hint="eastAsia" w:ascii="华文宋体" w:hAnsi="华文宋体" w:eastAsia="华文宋体" w:cs="华文宋体"/>
          <w:color w:val="auto"/>
          <w:sz w:val="27"/>
          <w:szCs w:val="27"/>
          <w:highlight w:val="none"/>
        </w:rPr>
        <w:tab/>
      </w:r>
      <w:r>
        <w:rPr>
          <w:rFonts w:hint="eastAsia" w:ascii="华文宋体" w:hAnsi="华文宋体" w:eastAsia="华文宋体" w:cs="华文宋体"/>
          <w:bCs/>
          <w:color w:val="auto"/>
          <w:sz w:val="27"/>
          <w:szCs w:val="27"/>
          <w:highlight w:val="none"/>
        </w:rPr>
        <w:fldChar w:fldCharType="end"/>
      </w:r>
      <w:r>
        <w:rPr>
          <w:rFonts w:hint="eastAsia" w:ascii="华文宋体" w:hAnsi="华文宋体" w:eastAsia="华文宋体" w:cs="华文宋体"/>
          <w:bCs/>
          <w:color w:val="auto"/>
          <w:sz w:val="27"/>
          <w:szCs w:val="27"/>
          <w:highlight w:val="none"/>
        </w:rPr>
        <w:t>8</w:t>
      </w:r>
    </w:p>
    <w:p>
      <w:pPr>
        <w:pStyle w:val="22"/>
        <w:tabs>
          <w:tab w:val="right" w:leader="dot" w:pos="9000"/>
        </w:tabs>
        <w:spacing w:after="156" w:afterLines="50"/>
        <w:rPr>
          <w:rFonts w:hint="eastAsia" w:ascii="华文宋体" w:hAnsi="华文宋体" w:eastAsia="华文宋体" w:cs="华文宋体"/>
          <w:color w:val="auto"/>
          <w:sz w:val="27"/>
          <w:szCs w:val="27"/>
          <w:highlight w:val="none"/>
        </w:rPr>
      </w:pPr>
      <w:r>
        <w:rPr>
          <w:rFonts w:hint="eastAsia" w:ascii="华文宋体" w:hAnsi="华文宋体" w:eastAsia="华文宋体" w:cs="华文宋体"/>
          <w:bCs/>
          <w:color w:val="auto"/>
          <w:sz w:val="27"/>
          <w:szCs w:val="27"/>
          <w:highlight w:val="none"/>
        </w:rPr>
        <w:fldChar w:fldCharType="begin"/>
      </w:r>
      <w:r>
        <w:rPr>
          <w:rFonts w:hint="eastAsia" w:ascii="华文宋体" w:hAnsi="华文宋体" w:eastAsia="华文宋体" w:cs="华文宋体"/>
          <w:bCs/>
          <w:color w:val="auto"/>
          <w:sz w:val="27"/>
          <w:szCs w:val="27"/>
          <w:highlight w:val="none"/>
        </w:rPr>
        <w:instrText xml:space="preserve"> HYPERLINK \l _Toc28046 </w:instrText>
      </w:r>
      <w:r>
        <w:rPr>
          <w:rFonts w:hint="eastAsia" w:ascii="华文宋体" w:hAnsi="华文宋体" w:eastAsia="华文宋体" w:cs="华文宋体"/>
          <w:bCs/>
          <w:color w:val="auto"/>
          <w:sz w:val="27"/>
          <w:szCs w:val="27"/>
          <w:highlight w:val="none"/>
        </w:rPr>
        <w:fldChar w:fldCharType="separate"/>
      </w:r>
      <w:r>
        <w:rPr>
          <w:rFonts w:hint="eastAsia" w:ascii="华文宋体" w:hAnsi="华文宋体" w:eastAsia="华文宋体" w:cs="华文宋体"/>
          <w:color w:val="auto"/>
          <w:sz w:val="27"/>
          <w:szCs w:val="27"/>
          <w:highlight w:val="none"/>
        </w:rPr>
        <w:t>第三章 供应商须知</w:t>
      </w:r>
      <w:r>
        <w:rPr>
          <w:rFonts w:hint="eastAsia" w:ascii="华文宋体" w:hAnsi="华文宋体" w:eastAsia="华文宋体" w:cs="华文宋体"/>
          <w:color w:val="auto"/>
          <w:sz w:val="27"/>
          <w:szCs w:val="27"/>
          <w:highlight w:val="none"/>
        </w:rPr>
        <w:tab/>
      </w:r>
      <w:r>
        <w:rPr>
          <w:rFonts w:hint="eastAsia" w:ascii="华文宋体" w:hAnsi="华文宋体" w:eastAsia="华文宋体" w:cs="华文宋体"/>
          <w:color w:val="auto"/>
          <w:sz w:val="27"/>
          <w:szCs w:val="27"/>
          <w:highlight w:val="none"/>
        </w:rPr>
        <w:fldChar w:fldCharType="begin"/>
      </w:r>
      <w:r>
        <w:rPr>
          <w:rFonts w:hint="eastAsia" w:ascii="华文宋体" w:hAnsi="华文宋体" w:eastAsia="华文宋体" w:cs="华文宋体"/>
          <w:color w:val="auto"/>
          <w:sz w:val="27"/>
          <w:szCs w:val="27"/>
          <w:highlight w:val="none"/>
        </w:rPr>
        <w:instrText xml:space="preserve"> PAGEREF _Toc28046 </w:instrText>
      </w:r>
      <w:r>
        <w:rPr>
          <w:rFonts w:hint="eastAsia" w:ascii="华文宋体" w:hAnsi="华文宋体" w:eastAsia="华文宋体" w:cs="华文宋体"/>
          <w:color w:val="auto"/>
          <w:sz w:val="27"/>
          <w:szCs w:val="27"/>
          <w:highlight w:val="none"/>
        </w:rPr>
        <w:fldChar w:fldCharType="separate"/>
      </w:r>
      <w:r>
        <w:rPr>
          <w:rFonts w:hint="eastAsia" w:ascii="华文宋体" w:hAnsi="华文宋体" w:eastAsia="华文宋体" w:cs="华文宋体"/>
          <w:color w:val="auto"/>
          <w:sz w:val="27"/>
          <w:szCs w:val="27"/>
          <w:highlight w:val="none"/>
        </w:rPr>
        <w:t>33</w:t>
      </w:r>
      <w:r>
        <w:rPr>
          <w:rFonts w:hint="eastAsia" w:ascii="华文宋体" w:hAnsi="华文宋体" w:eastAsia="华文宋体" w:cs="华文宋体"/>
          <w:color w:val="auto"/>
          <w:sz w:val="27"/>
          <w:szCs w:val="27"/>
          <w:highlight w:val="none"/>
        </w:rPr>
        <w:fldChar w:fldCharType="end"/>
      </w:r>
      <w:r>
        <w:rPr>
          <w:rFonts w:hint="eastAsia" w:ascii="华文宋体" w:hAnsi="华文宋体" w:eastAsia="华文宋体" w:cs="华文宋体"/>
          <w:bCs/>
          <w:color w:val="auto"/>
          <w:sz w:val="27"/>
          <w:szCs w:val="27"/>
          <w:highlight w:val="none"/>
        </w:rPr>
        <w:fldChar w:fldCharType="end"/>
      </w:r>
    </w:p>
    <w:p>
      <w:pPr>
        <w:pStyle w:val="22"/>
        <w:tabs>
          <w:tab w:val="right" w:leader="dot" w:pos="9000"/>
        </w:tabs>
        <w:spacing w:after="156" w:afterLines="50"/>
        <w:rPr>
          <w:rFonts w:hint="eastAsia" w:ascii="华文宋体" w:hAnsi="华文宋体" w:eastAsia="华文宋体" w:cs="华文宋体"/>
          <w:color w:val="auto"/>
          <w:sz w:val="27"/>
          <w:szCs w:val="27"/>
          <w:highlight w:val="none"/>
        </w:rPr>
      </w:pPr>
      <w:r>
        <w:rPr>
          <w:rFonts w:hint="eastAsia" w:ascii="华文宋体" w:hAnsi="华文宋体" w:eastAsia="华文宋体" w:cs="华文宋体"/>
          <w:bCs/>
          <w:color w:val="auto"/>
          <w:sz w:val="27"/>
          <w:szCs w:val="27"/>
          <w:highlight w:val="none"/>
        </w:rPr>
        <w:fldChar w:fldCharType="begin"/>
      </w:r>
      <w:r>
        <w:rPr>
          <w:rFonts w:hint="eastAsia" w:ascii="华文宋体" w:hAnsi="华文宋体" w:eastAsia="华文宋体" w:cs="华文宋体"/>
          <w:bCs/>
          <w:color w:val="auto"/>
          <w:sz w:val="27"/>
          <w:szCs w:val="27"/>
          <w:highlight w:val="none"/>
        </w:rPr>
        <w:instrText xml:space="preserve"> HYPERLINK \l _Toc1369 </w:instrText>
      </w:r>
      <w:r>
        <w:rPr>
          <w:rFonts w:hint="eastAsia" w:ascii="华文宋体" w:hAnsi="华文宋体" w:eastAsia="华文宋体" w:cs="华文宋体"/>
          <w:bCs/>
          <w:color w:val="auto"/>
          <w:sz w:val="27"/>
          <w:szCs w:val="27"/>
          <w:highlight w:val="none"/>
        </w:rPr>
        <w:fldChar w:fldCharType="separate"/>
      </w:r>
      <w:r>
        <w:rPr>
          <w:rFonts w:hint="eastAsia" w:ascii="华文宋体" w:hAnsi="华文宋体" w:eastAsia="华文宋体" w:cs="华文宋体"/>
          <w:color w:val="auto"/>
          <w:sz w:val="27"/>
          <w:szCs w:val="27"/>
          <w:highlight w:val="none"/>
        </w:rPr>
        <w:t>第四章 评审办法及标准</w:t>
      </w:r>
      <w:r>
        <w:rPr>
          <w:rFonts w:hint="eastAsia" w:ascii="华文宋体" w:hAnsi="华文宋体" w:eastAsia="华文宋体" w:cs="华文宋体"/>
          <w:color w:val="auto"/>
          <w:sz w:val="27"/>
          <w:szCs w:val="27"/>
          <w:highlight w:val="none"/>
        </w:rPr>
        <w:tab/>
      </w:r>
      <w:r>
        <w:rPr>
          <w:rFonts w:hint="eastAsia" w:ascii="华文宋体" w:hAnsi="华文宋体" w:eastAsia="华文宋体" w:cs="华文宋体"/>
          <w:color w:val="auto"/>
          <w:sz w:val="27"/>
          <w:szCs w:val="27"/>
          <w:highlight w:val="none"/>
        </w:rPr>
        <w:fldChar w:fldCharType="begin"/>
      </w:r>
      <w:r>
        <w:rPr>
          <w:rFonts w:hint="eastAsia" w:ascii="华文宋体" w:hAnsi="华文宋体" w:eastAsia="华文宋体" w:cs="华文宋体"/>
          <w:color w:val="auto"/>
          <w:sz w:val="27"/>
          <w:szCs w:val="27"/>
          <w:highlight w:val="none"/>
        </w:rPr>
        <w:instrText xml:space="preserve"> PAGEREF _Toc1369 </w:instrText>
      </w:r>
      <w:r>
        <w:rPr>
          <w:rFonts w:hint="eastAsia" w:ascii="华文宋体" w:hAnsi="华文宋体" w:eastAsia="华文宋体" w:cs="华文宋体"/>
          <w:color w:val="auto"/>
          <w:sz w:val="27"/>
          <w:szCs w:val="27"/>
          <w:highlight w:val="none"/>
        </w:rPr>
        <w:fldChar w:fldCharType="separate"/>
      </w:r>
      <w:r>
        <w:rPr>
          <w:rFonts w:hint="eastAsia" w:ascii="华文宋体" w:hAnsi="华文宋体" w:eastAsia="华文宋体" w:cs="华文宋体"/>
          <w:color w:val="auto"/>
          <w:sz w:val="27"/>
          <w:szCs w:val="27"/>
          <w:highlight w:val="none"/>
        </w:rPr>
        <w:t>52</w:t>
      </w:r>
      <w:r>
        <w:rPr>
          <w:rFonts w:hint="eastAsia" w:ascii="华文宋体" w:hAnsi="华文宋体" w:eastAsia="华文宋体" w:cs="华文宋体"/>
          <w:color w:val="auto"/>
          <w:sz w:val="27"/>
          <w:szCs w:val="27"/>
          <w:highlight w:val="none"/>
        </w:rPr>
        <w:fldChar w:fldCharType="end"/>
      </w:r>
      <w:r>
        <w:rPr>
          <w:rFonts w:hint="eastAsia" w:ascii="华文宋体" w:hAnsi="华文宋体" w:eastAsia="华文宋体" w:cs="华文宋体"/>
          <w:bCs/>
          <w:color w:val="auto"/>
          <w:sz w:val="27"/>
          <w:szCs w:val="27"/>
          <w:highlight w:val="none"/>
        </w:rPr>
        <w:fldChar w:fldCharType="end"/>
      </w:r>
    </w:p>
    <w:p>
      <w:pPr>
        <w:pStyle w:val="22"/>
        <w:tabs>
          <w:tab w:val="right" w:leader="dot" w:pos="9000"/>
        </w:tabs>
        <w:spacing w:after="156" w:afterLines="50"/>
        <w:rPr>
          <w:rFonts w:hint="eastAsia" w:ascii="华文宋体" w:hAnsi="华文宋体" w:eastAsia="华文宋体" w:cs="华文宋体"/>
          <w:color w:val="auto"/>
          <w:sz w:val="27"/>
          <w:szCs w:val="27"/>
          <w:highlight w:val="none"/>
        </w:rPr>
      </w:pPr>
      <w:r>
        <w:rPr>
          <w:rFonts w:hint="eastAsia" w:ascii="华文宋体" w:hAnsi="华文宋体" w:eastAsia="华文宋体" w:cs="华文宋体"/>
          <w:bCs/>
          <w:color w:val="auto"/>
          <w:sz w:val="27"/>
          <w:szCs w:val="27"/>
          <w:highlight w:val="none"/>
        </w:rPr>
        <w:fldChar w:fldCharType="begin"/>
      </w:r>
      <w:r>
        <w:rPr>
          <w:rFonts w:hint="eastAsia" w:ascii="华文宋体" w:hAnsi="华文宋体" w:eastAsia="华文宋体" w:cs="华文宋体"/>
          <w:bCs/>
          <w:color w:val="auto"/>
          <w:sz w:val="27"/>
          <w:szCs w:val="27"/>
          <w:highlight w:val="none"/>
        </w:rPr>
        <w:instrText xml:space="preserve"> HYPERLINK \l _Toc25475 </w:instrText>
      </w:r>
      <w:r>
        <w:rPr>
          <w:rFonts w:hint="eastAsia" w:ascii="华文宋体" w:hAnsi="华文宋体" w:eastAsia="华文宋体" w:cs="华文宋体"/>
          <w:bCs/>
          <w:color w:val="auto"/>
          <w:sz w:val="27"/>
          <w:szCs w:val="27"/>
          <w:highlight w:val="none"/>
        </w:rPr>
        <w:fldChar w:fldCharType="separate"/>
      </w:r>
      <w:r>
        <w:rPr>
          <w:rFonts w:hint="eastAsia" w:ascii="华文宋体" w:hAnsi="华文宋体" w:eastAsia="华文宋体" w:cs="华文宋体"/>
          <w:bCs/>
          <w:color w:val="auto"/>
          <w:kern w:val="44"/>
          <w:sz w:val="27"/>
          <w:szCs w:val="27"/>
          <w:highlight w:val="none"/>
        </w:rPr>
        <w:t>第五章 拟签订的合同文</w:t>
      </w:r>
      <w:bookmarkStart w:id="7" w:name="_Hlt132572360"/>
      <w:bookmarkStart w:id="8" w:name="_Hlt132572359"/>
      <w:r>
        <w:rPr>
          <w:rFonts w:hint="eastAsia" w:ascii="华文宋体" w:hAnsi="华文宋体" w:eastAsia="华文宋体" w:cs="华文宋体"/>
          <w:bCs/>
          <w:color w:val="auto"/>
          <w:kern w:val="44"/>
          <w:sz w:val="27"/>
          <w:szCs w:val="27"/>
          <w:highlight w:val="none"/>
        </w:rPr>
        <w:t>本</w:t>
      </w:r>
      <w:bookmarkEnd w:id="7"/>
      <w:bookmarkEnd w:id="8"/>
      <w:r>
        <w:rPr>
          <w:rFonts w:hint="eastAsia" w:ascii="华文宋体" w:hAnsi="华文宋体" w:eastAsia="华文宋体" w:cs="华文宋体"/>
          <w:color w:val="auto"/>
          <w:sz w:val="27"/>
          <w:szCs w:val="27"/>
          <w:highlight w:val="none"/>
        </w:rPr>
        <w:tab/>
      </w:r>
      <w:r>
        <w:rPr>
          <w:rFonts w:hint="eastAsia" w:ascii="华文宋体" w:hAnsi="华文宋体" w:eastAsia="华文宋体" w:cs="华文宋体"/>
          <w:color w:val="auto"/>
          <w:sz w:val="27"/>
          <w:szCs w:val="27"/>
          <w:highlight w:val="none"/>
        </w:rPr>
        <w:fldChar w:fldCharType="begin"/>
      </w:r>
      <w:r>
        <w:rPr>
          <w:rFonts w:hint="eastAsia" w:ascii="华文宋体" w:hAnsi="华文宋体" w:eastAsia="华文宋体" w:cs="华文宋体"/>
          <w:color w:val="auto"/>
          <w:sz w:val="27"/>
          <w:szCs w:val="27"/>
          <w:highlight w:val="none"/>
        </w:rPr>
        <w:instrText xml:space="preserve"> PAGEREF _Toc25475 </w:instrText>
      </w:r>
      <w:r>
        <w:rPr>
          <w:rFonts w:hint="eastAsia" w:ascii="华文宋体" w:hAnsi="华文宋体" w:eastAsia="华文宋体" w:cs="华文宋体"/>
          <w:color w:val="auto"/>
          <w:sz w:val="27"/>
          <w:szCs w:val="27"/>
          <w:highlight w:val="none"/>
        </w:rPr>
        <w:fldChar w:fldCharType="separate"/>
      </w:r>
      <w:r>
        <w:rPr>
          <w:rFonts w:hint="eastAsia" w:ascii="华文宋体" w:hAnsi="华文宋体" w:eastAsia="华文宋体" w:cs="华文宋体"/>
          <w:color w:val="auto"/>
          <w:sz w:val="27"/>
          <w:szCs w:val="27"/>
          <w:highlight w:val="none"/>
        </w:rPr>
        <w:t>63</w:t>
      </w:r>
      <w:r>
        <w:rPr>
          <w:rFonts w:hint="eastAsia" w:ascii="华文宋体" w:hAnsi="华文宋体" w:eastAsia="华文宋体" w:cs="华文宋体"/>
          <w:color w:val="auto"/>
          <w:sz w:val="27"/>
          <w:szCs w:val="27"/>
          <w:highlight w:val="none"/>
        </w:rPr>
        <w:fldChar w:fldCharType="end"/>
      </w:r>
      <w:r>
        <w:rPr>
          <w:rFonts w:hint="eastAsia" w:ascii="华文宋体" w:hAnsi="华文宋体" w:eastAsia="华文宋体" w:cs="华文宋体"/>
          <w:bCs/>
          <w:color w:val="auto"/>
          <w:sz w:val="27"/>
          <w:szCs w:val="27"/>
          <w:highlight w:val="none"/>
        </w:rPr>
        <w:fldChar w:fldCharType="end"/>
      </w:r>
    </w:p>
    <w:p>
      <w:pPr>
        <w:pStyle w:val="22"/>
        <w:tabs>
          <w:tab w:val="right" w:leader="dot" w:pos="9000"/>
        </w:tabs>
        <w:spacing w:after="156" w:afterLines="50"/>
        <w:rPr>
          <w:rFonts w:hint="eastAsia" w:ascii="华文宋体" w:hAnsi="华文宋体" w:eastAsia="华文宋体" w:cs="华文宋体"/>
          <w:color w:val="auto"/>
          <w:sz w:val="27"/>
          <w:szCs w:val="27"/>
          <w:highlight w:val="none"/>
        </w:rPr>
      </w:pPr>
      <w:r>
        <w:rPr>
          <w:rFonts w:hint="eastAsia" w:ascii="华文宋体" w:hAnsi="华文宋体" w:eastAsia="华文宋体" w:cs="华文宋体"/>
          <w:bCs/>
          <w:color w:val="auto"/>
          <w:sz w:val="27"/>
          <w:szCs w:val="27"/>
          <w:highlight w:val="none"/>
        </w:rPr>
        <w:fldChar w:fldCharType="begin"/>
      </w:r>
      <w:r>
        <w:rPr>
          <w:rFonts w:hint="eastAsia" w:ascii="华文宋体" w:hAnsi="华文宋体" w:eastAsia="华文宋体" w:cs="华文宋体"/>
          <w:bCs/>
          <w:color w:val="auto"/>
          <w:sz w:val="27"/>
          <w:szCs w:val="27"/>
          <w:highlight w:val="none"/>
        </w:rPr>
        <w:instrText xml:space="preserve"> HYPERLINK \l _Toc2131 </w:instrText>
      </w:r>
      <w:r>
        <w:rPr>
          <w:rFonts w:hint="eastAsia" w:ascii="华文宋体" w:hAnsi="华文宋体" w:eastAsia="华文宋体" w:cs="华文宋体"/>
          <w:bCs/>
          <w:color w:val="auto"/>
          <w:sz w:val="27"/>
          <w:szCs w:val="27"/>
          <w:highlight w:val="none"/>
        </w:rPr>
        <w:fldChar w:fldCharType="separate"/>
      </w:r>
      <w:r>
        <w:rPr>
          <w:rFonts w:hint="eastAsia" w:ascii="华文宋体" w:hAnsi="华文宋体" w:eastAsia="华文宋体" w:cs="华文宋体"/>
          <w:color w:val="auto"/>
          <w:sz w:val="27"/>
          <w:szCs w:val="27"/>
          <w:highlight w:val="none"/>
        </w:rPr>
        <w:t>第六章 响应文件格式</w:t>
      </w:r>
      <w:r>
        <w:rPr>
          <w:rFonts w:hint="eastAsia" w:ascii="华文宋体" w:hAnsi="华文宋体" w:eastAsia="华文宋体" w:cs="华文宋体"/>
          <w:color w:val="auto"/>
          <w:sz w:val="27"/>
          <w:szCs w:val="27"/>
          <w:highlight w:val="none"/>
        </w:rPr>
        <w:tab/>
      </w:r>
      <w:r>
        <w:rPr>
          <w:rFonts w:hint="eastAsia" w:ascii="华文宋体" w:hAnsi="华文宋体" w:eastAsia="华文宋体" w:cs="华文宋体"/>
          <w:color w:val="auto"/>
          <w:sz w:val="27"/>
          <w:szCs w:val="27"/>
          <w:highlight w:val="none"/>
        </w:rPr>
        <w:fldChar w:fldCharType="begin"/>
      </w:r>
      <w:r>
        <w:rPr>
          <w:rFonts w:hint="eastAsia" w:ascii="华文宋体" w:hAnsi="华文宋体" w:eastAsia="华文宋体" w:cs="华文宋体"/>
          <w:color w:val="auto"/>
          <w:sz w:val="27"/>
          <w:szCs w:val="27"/>
          <w:highlight w:val="none"/>
        </w:rPr>
        <w:instrText xml:space="preserve"> PAGEREF _Toc2131 </w:instrText>
      </w:r>
      <w:r>
        <w:rPr>
          <w:rFonts w:hint="eastAsia" w:ascii="华文宋体" w:hAnsi="华文宋体" w:eastAsia="华文宋体" w:cs="华文宋体"/>
          <w:color w:val="auto"/>
          <w:sz w:val="27"/>
          <w:szCs w:val="27"/>
          <w:highlight w:val="none"/>
        </w:rPr>
        <w:fldChar w:fldCharType="separate"/>
      </w:r>
      <w:r>
        <w:rPr>
          <w:rFonts w:hint="eastAsia" w:ascii="华文宋体" w:hAnsi="华文宋体" w:eastAsia="华文宋体" w:cs="华文宋体"/>
          <w:color w:val="auto"/>
          <w:sz w:val="27"/>
          <w:szCs w:val="27"/>
          <w:highlight w:val="none"/>
        </w:rPr>
        <w:t>69</w:t>
      </w:r>
      <w:r>
        <w:rPr>
          <w:rFonts w:hint="eastAsia" w:ascii="华文宋体" w:hAnsi="华文宋体" w:eastAsia="华文宋体" w:cs="华文宋体"/>
          <w:color w:val="auto"/>
          <w:sz w:val="27"/>
          <w:szCs w:val="27"/>
          <w:highlight w:val="none"/>
        </w:rPr>
        <w:fldChar w:fldCharType="end"/>
      </w:r>
      <w:r>
        <w:rPr>
          <w:rFonts w:hint="eastAsia" w:ascii="华文宋体" w:hAnsi="华文宋体" w:eastAsia="华文宋体" w:cs="华文宋体"/>
          <w:bCs/>
          <w:color w:val="auto"/>
          <w:sz w:val="27"/>
          <w:szCs w:val="27"/>
          <w:highlight w:val="none"/>
        </w:rPr>
        <w:fldChar w:fldCharType="end"/>
      </w:r>
    </w:p>
    <w:p>
      <w:pPr>
        <w:spacing w:after="156" w:afterLines="50" w:line="240" w:lineRule="exact"/>
        <w:rPr>
          <w:rFonts w:hint="eastAsia" w:ascii="华文宋体" w:hAnsi="华文宋体" w:eastAsia="华文宋体" w:cs="华文宋体"/>
          <w:color w:val="auto"/>
          <w:highlight w:val="none"/>
        </w:rPr>
      </w:pPr>
      <w:r>
        <w:rPr>
          <w:rFonts w:hint="eastAsia" w:ascii="华文宋体" w:hAnsi="华文宋体" w:eastAsia="华文宋体" w:cs="华文宋体"/>
          <w:bCs/>
          <w:color w:val="auto"/>
          <w:sz w:val="27"/>
          <w:szCs w:val="27"/>
          <w:highlight w:val="none"/>
        </w:rPr>
        <w:fldChar w:fldCharType="end"/>
      </w:r>
      <w:r>
        <w:rPr>
          <w:rFonts w:hint="eastAsia" w:ascii="华文宋体" w:hAnsi="华文宋体" w:eastAsia="华文宋体" w:cs="华文宋体"/>
          <w:color w:val="auto"/>
          <w:highlight w:val="none"/>
        </w:rPr>
        <w:br w:type="page"/>
      </w:r>
      <w:bookmarkStart w:id="9" w:name="_Toc525322206"/>
      <w:bookmarkStart w:id="10" w:name="_Toc19342"/>
      <w:bookmarkStart w:id="11" w:name="_Toc8073"/>
      <w:bookmarkStart w:id="12" w:name="_Toc19440"/>
      <w:bookmarkStart w:id="13" w:name="_Toc2271"/>
      <w:bookmarkStart w:id="14" w:name="_Toc1916"/>
      <w:bookmarkStart w:id="15" w:name="_Toc1915"/>
      <w:bookmarkStart w:id="16" w:name="_Toc10586"/>
      <w:bookmarkStart w:id="17" w:name="_Toc10837"/>
      <w:bookmarkStart w:id="18" w:name="_Toc1593"/>
      <w:bookmarkStart w:id="19" w:name="_Toc27978_WPSOffice_Level2"/>
    </w:p>
    <w:p>
      <w:pPr>
        <w:pStyle w:val="4"/>
        <w:spacing w:before="100" w:line="276" w:lineRule="auto"/>
        <w:jc w:val="center"/>
        <w:rPr>
          <w:rFonts w:hint="eastAsia" w:ascii="华文宋体" w:hAnsi="华文宋体" w:eastAsia="华文宋体" w:cs="华文宋体"/>
          <w:color w:val="auto"/>
          <w:sz w:val="40"/>
          <w:szCs w:val="40"/>
          <w:highlight w:val="none"/>
        </w:rPr>
      </w:pPr>
      <w:r>
        <w:rPr>
          <w:rFonts w:hint="eastAsia" w:ascii="华文宋体" w:hAnsi="华文宋体" w:eastAsia="华文宋体" w:cs="华文宋体"/>
          <w:color w:val="auto"/>
          <w:sz w:val="40"/>
          <w:szCs w:val="40"/>
          <w:highlight w:val="none"/>
        </w:rPr>
        <w:t>第一章 磋商邀请</w:t>
      </w:r>
      <w:bookmarkEnd w:id="9"/>
      <w:bookmarkEnd w:id="10"/>
      <w:bookmarkEnd w:id="11"/>
      <w:bookmarkEnd w:id="12"/>
      <w:bookmarkEnd w:id="13"/>
      <w:bookmarkEnd w:id="14"/>
      <w:bookmarkEnd w:id="15"/>
      <w:bookmarkEnd w:id="16"/>
      <w:bookmarkEnd w:id="17"/>
      <w:bookmarkEnd w:id="18"/>
      <w:bookmarkEnd w:id="19"/>
    </w:p>
    <w:bookmarkEnd w:id="5"/>
    <w:bookmarkEnd w:id="6"/>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根据 《中华人民共和国政府采购法》《政府采购竞争性磋商采购方式管理暂行办法》等有关规定，广东公采招标有限公司（以下简称“采购代理机构”）受广州市越秀区消防救援大队（以下简称“采购人”）的委托，对委托方“广东省广州市越秀区消防救援大队2023年消防车辆维修和保养服务采购项目进行竞争性磋商采购，欢迎符合资格条件的供应商参加。</w:t>
      </w: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firstLine="567" w:firstLineChars="236"/>
        <w:textAlignment w:val="auto"/>
        <w:outlineLvl w:val="1"/>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t>一、项目信息</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项目名称：广东省广州市越秀区消防救援大队2023年消防车辆维修和保养服务采购项目</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项目编号：GDGC2304CS18</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行政区域：广州市</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项目联系人：劳小姐</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项目联系电话：020-38083016</w:t>
      </w: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firstLine="567" w:firstLineChars="236"/>
        <w:textAlignment w:val="auto"/>
        <w:outlineLvl w:val="1"/>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t>二、采购单位信息</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采购单位：广州市越秀区消防救援大队</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联系人和联系方式：/，电话：020-83527440</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联系地址：广州市越秀区文明路49号</w:t>
      </w: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firstLine="567" w:firstLineChars="236"/>
        <w:textAlignment w:val="auto"/>
        <w:outlineLvl w:val="1"/>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t>三、代理机构信息</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单位名称：广东公采招标有限公司</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联系人和联系方式：劳小姐，电话020-38083016</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联系地址：广州市天河区广州大道北613号城光大厦515,517室</w:t>
      </w: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firstLine="567" w:firstLineChars="236"/>
        <w:textAlignment w:val="auto"/>
        <w:outlineLvl w:val="1"/>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t>四、标讯信息</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基本情况</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1060"/>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标题：广东省广州市越秀区消防救援大队2023年消防车辆维修和保养服务采购项目竞争性磋商公告</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1060"/>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预算金额：人民币壹佰陆拾万元整（￥160万元）</w:t>
      </w:r>
    </w:p>
    <w:p>
      <w:pPr>
        <w:numPr>
          <w:ilvl w:val="0"/>
          <w:numId w:val="6"/>
        </w:numPr>
        <w:spacing w:line="480" w:lineRule="exact"/>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采购项目基本概况</w:t>
      </w:r>
    </w:p>
    <w:p>
      <w:pPr>
        <w:widowControl/>
        <w:spacing w:line="480" w:lineRule="exact"/>
        <w:ind w:left="-17" w:firstLine="482"/>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本项目通过竞争性磋商方式甄选1名成交供应商为采购方提供消防车辆维修和保养服务。具体详情见第二章项目采购需求。</w:t>
      </w:r>
    </w:p>
    <w:p>
      <w:pPr>
        <w:bidi w:val="0"/>
        <w:rPr>
          <w:rFonts w:hint="eastAsia"/>
        </w:rPr>
      </w:pPr>
    </w:p>
    <w:p>
      <w:pPr>
        <w:numPr>
          <w:ilvl w:val="0"/>
          <w:numId w:val="6"/>
        </w:numPr>
        <w:spacing w:line="480" w:lineRule="exact"/>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供应商资格要求</w:t>
      </w:r>
    </w:p>
    <w:p>
      <w:pPr>
        <w:numPr>
          <w:ilvl w:val="3"/>
          <w:numId w:val="8"/>
        </w:numPr>
        <w:tabs>
          <w:tab w:val="clear" w:pos="846"/>
        </w:tabs>
        <w:spacing w:line="480" w:lineRule="exact"/>
        <w:ind w:left="907" w:leftChars="304" w:hanging="360" w:hangingChars="150"/>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lang w:val="zh-CN"/>
        </w:rPr>
        <w:t>应具备《中华人民共和国政府采购法》第二十二条规定的条件：</w:t>
      </w:r>
    </w:p>
    <w:p>
      <w:pPr>
        <w:numPr>
          <w:ilvl w:val="0"/>
          <w:numId w:val="9"/>
        </w:numPr>
        <w:spacing w:line="480" w:lineRule="exact"/>
        <w:ind w:left="914" w:leftChars="304" w:hanging="367" w:hangingChars="153"/>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lang w:val="zh-CN"/>
        </w:rPr>
        <w:t>具有独立承担民事责任的能力；</w:t>
      </w:r>
    </w:p>
    <w:p>
      <w:pPr>
        <w:numPr>
          <w:ilvl w:val="0"/>
          <w:numId w:val="9"/>
        </w:numPr>
        <w:spacing w:line="480" w:lineRule="exact"/>
        <w:ind w:left="914" w:leftChars="304" w:hanging="367" w:hangingChars="153"/>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lang w:val="zh-CN"/>
        </w:rPr>
        <w:t>具有良好的商业信誉和健全的财务会计制度；</w:t>
      </w:r>
    </w:p>
    <w:p>
      <w:pPr>
        <w:numPr>
          <w:ilvl w:val="0"/>
          <w:numId w:val="9"/>
        </w:numPr>
        <w:spacing w:line="480" w:lineRule="exact"/>
        <w:ind w:left="914" w:leftChars="304" w:hanging="367" w:hangingChars="153"/>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lang w:val="zh-CN"/>
        </w:rPr>
        <w:t>具有履行合同所必需的设备和专业技术能力；</w:t>
      </w:r>
    </w:p>
    <w:p>
      <w:pPr>
        <w:numPr>
          <w:ilvl w:val="0"/>
          <w:numId w:val="9"/>
        </w:numPr>
        <w:spacing w:line="480" w:lineRule="exact"/>
        <w:ind w:left="914" w:leftChars="304" w:hanging="367" w:hangingChars="153"/>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lang w:val="zh-CN"/>
        </w:rPr>
        <w:t>有依法缴纳税收和社会保障资金的良好记录；</w:t>
      </w:r>
    </w:p>
    <w:p>
      <w:pPr>
        <w:numPr>
          <w:ilvl w:val="0"/>
          <w:numId w:val="9"/>
        </w:numPr>
        <w:spacing w:line="480" w:lineRule="exact"/>
        <w:ind w:left="914" w:leftChars="304" w:hanging="367" w:hangingChars="153"/>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lang w:val="zh-CN"/>
        </w:rPr>
        <w:t>参加政府采购活动前三年内，在经营活动中没有重大违法记录；</w:t>
      </w:r>
    </w:p>
    <w:p>
      <w:pPr>
        <w:numPr>
          <w:ilvl w:val="0"/>
          <w:numId w:val="9"/>
        </w:numPr>
        <w:spacing w:line="480" w:lineRule="exact"/>
        <w:ind w:left="914" w:leftChars="304" w:hanging="367" w:hangingChars="153"/>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lang w:val="zh-CN"/>
        </w:rPr>
        <w:t>法律、行政法规规定的其他条件。</w:t>
      </w:r>
    </w:p>
    <w:p>
      <w:pPr>
        <w:numPr>
          <w:ilvl w:val="3"/>
          <w:numId w:val="8"/>
        </w:numPr>
        <w:tabs>
          <w:tab w:val="clear" w:pos="846"/>
        </w:tabs>
        <w:spacing w:line="480" w:lineRule="exact"/>
        <w:ind w:left="0" w:firstLine="480" w:firstLineChars="200"/>
        <w:rPr>
          <w:rFonts w:hint="eastAsia" w:ascii="华文宋体" w:hAnsi="华文宋体" w:eastAsia="华文宋体" w:cs="华文宋体"/>
          <w:color w:val="auto"/>
          <w:sz w:val="24"/>
          <w:szCs w:val="24"/>
          <w:highlight w:val="none"/>
          <w:lang w:val="zh-CN"/>
        </w:rPr>
      </w:pPr>
      <w:r>
        <w:rPr>
          <w:rFonts w:hint="eastAsia" w:ascii="华文宋体" w:hAnsi="华文宋体" w:eastAsia="华文宋体" w:cs="华文宋体"/>
          <w:color w:val="auto"/>
          <w:sz w:val="24"/>
          <w:szCs w:val="24"/>
          <w:highlight w:val="none"/>
          <w:lang w:val="zh-CN"/>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numPr>
          <w:ilvl w:val="3"/>
          <w:numId w:val="8"/>
        </w:numPr>
        <w:tabs>
          <w:tab w:val="clear" w:pos="846"/>
        </w:tabs>
        <w:spacing w:line="480" w:lineRule="exact"/>
        <w:ind w:left="0" w:firstLine="540" w:firstLineChars="225"/>
        <w:rPr>
          <w:rFonts w:hint="eastAsia" w:ascii="华文宋体" w:hAnsi="华文宋体" w:eastAsia="华文宋体" w:cs="华文宋体"/>
          <w:color w:val="auto"/>
          <w:sz w:val="24"/>
          <w:szCs w:val="24"/>
          <w:highlight w:val="none"/>
          <w:lang w:val="zh-CN"/>
        </w:rPr>
      </w:pPr>
      <w:r>
        <w:rPr>
          <w:rFonts w:hint="eastAsia" w:ascii="华文宋体" w:hAnsi="华文宋体" w:eastAsia="华文宋体" w:cs="华文宋体"/>
          <w:color w:val="auto"/>
          <w:sz w:val="24"/>
          <w:szCs w:val="24"/>
          <w:highlight w:val="none"/>
          <w:lang w:val="zh-CN"/>
        </w:rPr>
        <w:t>特定资格要求</w:t>
      </w:r>
    </w:p>
    <w:p>
      <w:pPr>
        <w:numPr>
          <w:ilvl w:val="0"/>
          <w:numId w:val="10"/>
        </w:numPr>
        <w:spacing w:line="480" w:lineRule="exact"/>
        <w:ind w:left="845" w:hanging="369"/>
        <w:rPr>
          <w:rFonts w:hint="eastAsia" w:ascii="华文宋体" w:hAnsi="华文宋体" w:eastAsia="华文宋体" w:cs="华文宋体"/>
          <w:color w:val="auto"/>
          <w:sz w:val="24"/>
          <w:szCs w:val="24"/>
          <w:highlight w:val="none"/>
          <w:lang w:val="zh-CN"/>
        </w:rPr>
      </w:pPr>
      <w:r>
        <w:rPr>
          <w:rFonts w:hint="eastAsia" w:ascii="华文宋体" w:hAnsi="华文宋体" w:eastAsia="华文宋体" w:cs="华文宋体"/>
          <w:color w:val="auto"/>
          <w:sz w:val="24"/>
          <w:highlight w:val="none"/>
          <w:lang w:val="zh-CN"/>
        </w:rPr>
        <w:t>未被列入“信用中国”（www.creditchina.gov.cn）“失信被执行人、重大税收违法案件当事人名单、政府采购严重违法失信行为记录名单”，且不在中国政府采购网(www.ccgp.gov.cn)“政府采购严重违法失信行为记录名单”中的禁止参加政府采购活动期间。</w:t>
      </w:r>
    </w:p>
    <w:p>
      <w:pPr>
        <w:numPr>
          <w:ilvl w:val="0"/>
          <w:numId w:val="10"/>
        </w:numPr>
        <w:spacing w:line="480" w:lineRule="exact"/>
        <w:ind w:left="845" w:hanging="369"/>
        <w:rPr>
          <w:rFonts w:hint="eastAsia" w:ascii="华文宋体" w:hAnsi="华文宋体" w:eastAsia="华文宋体" w:cs="华文宋体"/>
          <w:color w:val="auto"/>
          <w:sz w:val="24"/>
          <w:szCs w:val="24"/>
          <w:highlight w:val="none"/>
          <w:lang w:val="zh-CN"/>
        </w:rPr>
      </w:pPr>
      <w:r>
        <w:rPr>
          <w:rFonts w:hint="eastAsia" w:ascii="华文宋体" w:hAnsi="华文宋体" w:eastAsia="华文宋体" w:cs="华文宋体"/>
          <w:color w:val="auto"/>
          <w:sz w:val="24"/>
          <w:szCs w:val="24"/>
          <w:highlight w:val="none"/>
          <w:lang w:val="zh-CN"/>
        </w:rPr>
        <w:t>法定代表人或单位负责人为同一人或者存在直接控股、管理关系的不同供应商，不得参加同一合同项下的政府采购活动。为项目提供整体设计、规范编制或者项目管理、监理、检测等服务的供应商，不得再参加该项目的其他采购活动</w:t>
      </w:r>
    </w:p>
    <w:p>
      <w:pPr>
        <w:numPr>
          <w:ilvl w:val="0"/>
          <w:numId w:val="10"/>
        </w:numPr>
        <w:spacing w:line="480" w:lineRule="exact"/>
        <w:ind w:left="845" w:hanging="369"/>
        <w:rPr>
          <w:rFonts w:hint="eastAsia" w:ascii="华文宋体" w:hAnsi="华文宋体" w:eastAsia="华文宋体" w:cs="华文宋体"/>
          <w:color w:val="auto"/>
          <w:highlight w:val="none"/>
          <w:lang w:val="zh-CN"/>
        </w:rPr>
      </w:pPr>
      <w:r>
        <w:rPr>
          <w:rFonts w:hint="eastAsia" w:ascii="华文宋体" w:hAnsi="华文宋体" w:eastAsia="华文宋体" w:cs="华文宋体"/>
          <w:color w:val="auto"/>
          <w:sz w:val="24"/>
          <w:szCs w:val="24"/>
          <w:highlight w:val="none"/>
        </w:rPr>
        <w:t>响应供应商提供交通行政主管部门审核通过的二类及以上机动车维修经营备案证明材料复印件，或提供承诺函承诺中标后一个月内完成二类及以上机动车维修经营备案</w:t>
      </w:r>
      <w:r>
        <w:rPr>
          <w:rFonts w:hint="eastAsia" w:ascii="华文宋体" w:hAnsi="华文宋体" w:eastAsia="华文宋体" w:cs="华文宋体"/>
          <w:color w:val="auto"/>
          <w:sz w:val="24"/>
          <w:szCs w:val="24"/>
          <w:highlight w:val="none"/>
          <w:lang w:val="zh-CN"/>
        </w:rPr>
        <w:t>。</w:t>
      </w:r>
    </w:p>
    <w:p>
      <w:pPr>
        <w:numPr>
          <w:ilvl w:val="3"/>
          <w:numId w:val="8"/>
        </w:numPr>
        <w:tabs>
          <w:tab w:val="clear" w:pos="846"/>
        </w:tabs>
        <w:spacing w:line="480" w:lineRule="exact"/>
        <w:ind w:left="0" w:firstLine="537" w:firstLineChars="224"/>
        <w:rPr>
          <w:rFonts w:hint="eastAsia" w:ascii="华文宋体" w:hAnsi="华文宋体" w:eastAsia="华文宋体" w:cs="华文宋体"/>
          <w:color w:val="auto"/>
          <w:sz w:val="24"/>
          <w:szCs w:val="24"/>
          <w:highlight w:val="none"/>
          <w:lang w:val="zh-CN"/>
        </w:rPr>
      </w:pPr>
      <w:r>
        <w:rPr>
          <w:rFonts w:hint="eastAsia" w:ascii="华文宋体" w:hAnsi="华文宋体" w:eastAsia="华文宋体" w:cs="华文宋体"/>
          <w:color w:val="auto"/>
          <w:sz w:val="24"/>
          <w:szCs w:val="24"/>
          <w:highlight w:val="none"/>
          <w:lang w:val="zh-CN"/>
        </w:rPr>
        <w:t>落实政府采购政策需满足的资格要求</w:t>
      </w:r>
      <w:r>
        <w:rPr>
          <w:rFonts w:hint="eastAsia" w:ascii="华文宋体" w:hAnsi="华文宋体" w:eastAsia="华文宋体" w:cs="华文宋体"/>
          <w:color w:val="auto"/>
          <w:sz w:val="24"/>
          <w:szCs w:val="24"/>
          <w:highlight w:val="none"/>
        </w:rPr>
        <w:t>: 本项目属于专门面向中小企业采购项目。</w:t>
      </w:r>
      <w:r>
        <w:rPr>
          <w:rFonts w:hint="eastAsia" w:ascii="华文宋体" w:hAnsi="华文宋体" w:eastAsia="华文宋体" w:cs="华文宋体"/>
          <w:color w:val="auto"/>
          <w:sz w:val="24"/>
          <w:highlight w:val="none"/>
        </w:rPr>
        <w:t>采购标的对应的</w:t>
      </w:r>
      <w:r>
        <w:rPr>
          <w:rFonts w:hint="eastAsia" w:ascii="华文宋体" w:hAnsi="华文宋体" w:eastAsia="华文宋体" w:cs="华文宋体"/>
          <w:color w:val="auto"/>
          <w:sz w:val="24"/>
          <w:szCs w:val="24"/>
          <w:highlight w:val="none"/>
        </w:rPr>
        <w:t>中小企业划分标准所属行业为：其他未列明行业</w:t>
      </w:r>
      <w:r>
        <w:rPr>
          <w:rFonts w:hint="eastAsia" w:ascii="华文宋体" w:hAnsi="华文宋体" w:eastAsia="华文宋体" w:cs="华文宋体"/>
          <w:color w:val="auto"/>
          <w:sz w:val="24"/>
          <w:szCs w:val="24"/>
          <w:highlight w:val="none"/>
          <w:lang w:val="zh-CN"/>
        </w:rPr>
        <w:t>。</w:t>
      </w:r>
      <w:r>
        <w:rPr>
          <w:rFonts w:hint="eastAsia" w:ascii="华文宋体" w:hAnsi="华文宋体" w:eastAsia="华文宋体" w:cs="华文宋体"/>
          <w:color w:val="auto"/>
          <w:sz w:val="24"/>
          <w:szCs w:val="24"/>
          <w:highlight w:val="none"/>
        </w:rPr>
        <w:t>【提供中小企业声明函】</w:t>
      </w:r>
    </w:p>
    <w:p>
      <w:pPr>
        <w:numPr>
          <w:ilvl w:val="3"/>
          <w:numId w:val="8"/>
        </w:numPr>
        <w:tabs>
          <w:tab w:val="clear" w:pos="846"/>
        </w:tabs>
        <w:spacing w:line="480" w:lineRule="exact"/>
        <w:ind w:left="909" w:leftChars="320" w:hanging="333" w:hangingChars="139"/>
        <w:rPr>
          <w:rFonts w:hint="eastAsia" w:ascii="华文宋体" w:hAnsi="华文宋体" w:eastAsia="华文宋体" w:cs="华文宋体"/>
          <w:color w:val="auto"/>
          <w:sz w:val="24"/>
          <w:szCs w:val="24"/>
          <w:highlight w:val="none"/>
          <w:lang w:val="zh-CN"/>
        </w:rPr>
      </w:pPr>
      <w:r>
        <w:rPr>
          <w:rFonts w:hint="eastAsia" w:ascii="华文宋体" w:hAnsi="华文宋体" w:eastAsia="华文宋体" w:cs="华文宋体"/>
          <w:color w:val="auto"/>
          <w:sz w:val="24"/>
          <w:szCs w:val="24"/>
          <w:highlight w:val="none"/>
          <w:lang w:val="zh-CN"/>
        </w:rPr>
        <w:t>已向采购代理机构报名购买本项目竞争性磋商文件。</w:t>
      </w:r>
    </w:p>
    <w:p>
      <w:pPr>
        <w:numPr>
          <w:ilvl w:val="3"/>
          <w:numId w:val="8"/>
        </w:numPr>
        <w:tabs>
          <w:tab w:val="clear" w:pos="846"/>
        </w:tabs>
        <w:spacing w:line="480" w:lineRule="exact"/>
        <w:ind w:left="909" w:leftChars="320" w:hanging="333" w:hangingChars="139"/>
        <w:rPr>
          <w:rFonts w:hint="eastAsia" w:ascii="华文宋体" w:hAnsi="华文宋体" w:eastAsia="华文宋体" w:cs="华文宋体"/>
          <w:color w:val="auto"/>
          <w:sz w:val="24"/>
          <w:szCs w:val="24"/>
          <w:highlight w:val="none"/>
          <w:lang w:val="zh-CN"/>
        </w:rPr>
      </w:pPr>
      <w:r>
        <w:rPr>
          <w:rFonts w:hint="eastAsia" w:ascii="华文宋体" w:hAnsi="华文宋体" w:eastAsia="华文宋体" w:cs="华文宋体"/>
          <w:color w:val="auto"/>
          <w:sz w:val="24"/>
          <w:szCs w:val="24"/>
          <w:highlight w:val="none"/>
          <w:lang w:val="zh-CN"/>
        </w:rPr>
        <w:t>本项目不接受联合体参加</w:t>
      </w:r>
      <w:r>
        <w:rPr>
          <w:rFonts w:hint="eastAsia" w:ascii="华文宋体" w:hAnsi="华文宋体" w:eastAsia="华文宋体" w:cs="华文宋体"/>
          <w:color w:val="auto"/>
          <w:sz w:val="24"/>
          <w:szCs w:val="24"/>
          <w:highlight w:val="none"/>
        </w:rPr>
        <w:t>。</w:t>
      </w:r>
      <w:r>
        <w:rPr>
          <w:rFonts w:hint="eastAsia" w:ascii="华文宋体" w:hAnsi="华文宋体" w:eastAsia="华文宋体" w:cs="华文宋体"/>
          <w:color w:val="auto"/>
          <w:sz w:val="24"/>
          <w:szCs w:val="24"/>
          <w:highlight w:val="none"/>
          <w:lang w:val="zh-CN"/>
        </w:rPr>
        <w:t xml:space="preserve"> </w:t>
      </w:r>
    </w:p>
    <w:p>
      <w:pPr>
        <w:pStyle w:val="47"/>
        <w:rPr>
          <w:rFonts w:hint="eastAsia" w:ascii="华文宋体" w:hAnsi="华文宋体" w:eastAsia="华文宋体" w:cs="华文宋体"/>
          <w:color w:val="auto"/>
          <w:highlight w:val="none"/>
          <w:lang w:val="zh-CN"/>
        </w:rPr>
      </w:pPr>
    </w:p>
    <w:p>
      <w:pPr>
        <w:keepNext w:val="0"/>
        <w:keepLines w:val="0"/>
        <w:pageBreakBefore w:val="0"/>
        <w:widowControl w:val="0"/>
        <w:numPr>
          <w:ilvl w:val="0"/>
          <w:numId w:val="6"/>
        </w:numPr>
        <w:kinsoku/>
        <w:overflowPunct/>
        <w:autoSpaceDE/>
        <w:autoSpaceDN/>
        <w:bidi w:val="0"/>
        <w:adjustRightInd/>
        <w:snapToGrid/>
        <w:spacing w:line="460" w:lineRule="exac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获取竞争性磋商文件的时间及地点等</w:t>
      </w:r>
    </w:p>
    <w:p>
      <w:pPr>
        <w:keepNext w:val="0"/>
        <w:keepLines w:val="0"/>
        <w:pageBreakBefore w:val="0"/>
        <w:widowControl w:val="0"/>
        <w:numPr>
          <w:ilvl w:val="3"/>
          <w:numId w:val="11"/>
        </w:numPr>
        <w:tabs>
          <w:tab w:val="clear" w:pos="846"/>
        </w:tabs>
        <w:kinsoku/>
        <w:overflowPunct/>
        <w:autoSpaceDE/>
        <w:autoSpaceDN/>
        <w:bidi w:val="0"/>
        <w:adjustRightInd/>
        <w:snapToGrid/>
        <w:spacing w:line="460" w:lineRule="exact"/>
        <w:ind w:left="0" w:firstLine="480" w:firstLineChars="200"/>
        <w:textAlignment w:val="auto"/>
        <w:rPr>
          <w:rFonts w:hint="eastAsia" w:ascii="华文宋体" w:hAnsi="华文宋体" w:eastAsia="华文宋体" w:cs="华文宋体"/>
          <w:color w:val="auto"/>
          <w:sz w:val="24"/>
          <w:highlight w:val="none"/>
          <w:lang w:val="zh-CN"/>
        </w:rPr>
      </w:pPr>
      <w:bookmarkStart w:id="20" w:name="_Hlk7195775"/>
      <w:r>
        <w:rPr>
          <w:rFonts w:hint="eastAsia" w:ascii="华文宋体" w:hAnsi="华文宋体" w:eastAsia="华文宋体" w:cs="华文宋体"/>
          <w:color w:val="auto"/>
          <w:sz w:val="24"/>
          <w:highlight w:val="none"/>
          <w:lang w:val="zh-CN"/>
        </w:rPr>
        <w:t>获取</w:t>
      </w:r>
      <w:r>
        <w:rPr>
          <w:rFonts w:hint="eastAsia" w:ascii="华文宋体" w:hAnsi="华文宋体" w:eastAsia="华文宋体" w:cs="华文宋体"/>
          <w:color w:val="auto"/>
          <w:sz w:val="24"/>
          <w:highlight w:val="none"/>
        </w:rPr>
        <w:t>竞争性磋商文件</w:t>
      </w:r>
      <w:r>
        <w:rPr>
          <w:rFonts w:hint="eastAsia" w:ascii="华文宋体" w:hAnsi="华文宋体" w:eastAsia="华文宋体" w:cs="华文宋体"/>
          <w:color w:val="auto"/>
          <w:sz w:val="24"/>
          <w:highlight w:val="none"/>
          <w:lang w:val="zh-CN"/>
        </w:rPr>
        <w:t>时间：符合资格的供应商应当在</w:t>
      </w:r>
      <w:r>
        <w:rPr>
          <w:rFonts w:hint="eastAsia" w:ascii="华文宋体" w:hAnsi="华文宋体" w:eastAsia="华文宋体" w:cs="华文宋体"/>
          <w:color w:val="auto"/>
          <w:sz w:val="24"/>
          <w:highlight w:val="none"/>
        </w:rPr>
        <w:t>2023</w:t>
      </w:r>
      <w:r>
        <w:rPr>
          <w:rFonts w:hint="eastAsia" w:ascii="华文宋体" w:hAnsi="华文宋体" w:eastAsia="华文宋体" w:cs="华文宋体"/>
          <w:color w:val="auto"/>
          <w:sz w:val="24"/>
          <w:highlight w:val="none"/>
          <w:lang w:val="zh-CN"/>
        </w:rPr>
        <w:t>年</w:t>
      </w:r>
      <w:r>
        <w:rPr>
          <w:rFonts w:hint="eastAsia" w:ascii="华文宋体" w:hAnsi="华文宋体" w:eastAsia="华文宋体" w:cs="华文宋体"/>
          <w:color w:val="auto"/>
          <w:sz w:val="24"/>
          <w:highlight w:val="none"/>
          <w:lang w:val="en-US" w:eastAsia="zh-CN"/>
        </w:rPr>
        <w:t>4</w:t>
      </w:r>
      <w:r>
        <w:rPr>
          <w:rFonts w:hint="eastAsia" w:ascii="华文宋体" w:hAnsi="华文宋体" w:eastAsia="华文宋体" w:cs="华文宋体"/>
          <w:color w:val="auto"/>
          <w:sz w:val="24"/>
          <w:highlight w:val="none"/>
          <w:lang w:val="zh-CN"/>
        </w:rPr>
        <w:t>月</w:t>
      </w:r>
      <w:r>
        <w:rPr>
          <w:rFonts w:hint="eastAsia" w:ascii="华文宋体" w:hAnsi="华文宋体" w:eastAsia="华文宋体" w:cs="华文宋体"/>
          <w:color w:val="auto"/>
          <w:sz w:val="24"/>
          <w:highlight w:val="none"/>
          <w:lang w:val="en-US" w:eastAsia="zh-CN"/>
        </w:rPr>
        <w:t>26</w:t>
      </w:r>
      <w:r>
        <w:rPr>
          <w:rFonts w:hint="eastAsia" w:ascii="华文宋体" w:hAnsi="华文宋体" w:eastAsia="华文宋体" w:cs="华文宋体"/>
          <w:color w:val="auto"/>
          <w:sz w:val="24"/>
          <w:highlight w:val="none"/>
          <w:lang w:val="zh-CN"/>
        </w:rPr>
        <w:t>日起至</w:t>
      </w:r>
      <w:r>
        <w:rPr>
          <w:rFonts w:hint="eastAsia" w:ascii="华文宋体" w:hAnsi="华文宋体" w:eastAsia="华文宋体" w:cs="华文宋体"/>
          <w:color w:val="auto"/>
          <w:sz w:val="24"/>
          <w:highlight w:val="none"/>
        </w:rPr>
        <w:t>2023</w:t>
      </w:r>
      <w:r>
        <w:rPr>
          <w:rFonts w:hint="eastAsia" w:ascii="华文宋体" w:hAnsi="华文宋体" w:eastAsia="华文宋体" w:cs="华文宋体"/>
          <w:color w:val="auto"/>
          <w:sz w:val="24"/>
          <w:highlight w:val="none"/>
          <w:lang w:val="zh-CN"/>
        </w:rPr>
        <w:t>年</w:t>
      </w:r>
      <w:r>
        <w:rPr>
          <w:rFonts w:hint="eastAsia" w:ascii="华文宋体" w:hAnsi="华文宋体" w:eastAsia="华文宋体" w:cs="华文宋体"/>
          <w:color w:val="auto"/>
          <w:sz w:val="24"/>
          <w:highlight w:val="none"/>
          <w:lang w:val="en-US" w:eastAsia="zh-CN"/>
        </w:rPr>
        <w:t>5</w:t>
      </w:r>
      <w:r>
        <w:rPr>
          <w:rFonts w:hint="eastAsia" w:ascii="华文宋体" w:hAnsi="华文宋体" w:eastAsia="华文宋体" w:cs="华文宋体"/>
          <w:color w:val="auto"/>
          <w:sz w:val="24"/>
          <w:highlight w:val="none"/>
          <w:lang w:val="zh-CN"/>
        </w:rPr>
        <w:t>月</w:t>
      </w:r>
      <w:r>
        <w:rPr>
          <w:rFonts w:hint="eastAsia" w:ascii="华文宋体" w:hAnsi="华文宋体" w:eastAsia="华文宋体" w:cs="华文宋体"/>
          <w:color w:val="auto"/>
          <w:sz w:val="24"/>
          <w:highlight w:val="none"/>
          <w:lang w:val="en-US" w:eastAsia="zh-CN"/>
        </w:rPr>
        <w:t>5</w:t>
      </w:r>
      <w:r>
        <w:rPr>
          <w:rFonts w:hint="eastAsia" w:ascii="华文宋体" w:hAnsi="华文宋体" w:eastAsia="华文宋体" w:cs="华文宋体"/>
          <w:color w:val="auto"/>
          <w:sz w:val="24"/>
          <w:highlight w:val="none"/>
          <w:lang w:val="zh-CN"/>
        </w:rPr>
        <w:t>日期间（工作日</w:t>
      </w:r>
      <w:r>
        <w:rPr>
          <w:rFonts w:hint="eastAsia" w:ascii="华文宋体" w:hAnsi="华文宋体" w:eastAsia="华文宋体" w:cs="华文宋体"/>
          <w:color w:val="auto"/>
          <w:sz w:val="24"/>
          <w:highlight w:val="none"/>
          <w:lang w:val="en-US" w:eastAsia="zh-CN"/>
        </w:rPr>
        <w:t>上午</w:t>
      </w:r>
      <w:r>
        <w:rPr>
          <w:rFonts w:hint="eastAsia" w:ascii="华文宋体" w:hAnsi="华文宋体" w:eastAsia="华文宋体" w:cs="华文宋体"/>
          <w:color w:val="auto"/>
          <w:sz w:val="24"/>
          <w:highlight w:val="none"/>
          <w:lang w:val="zh-CN"/>
        </w:rPr>
        <w:t>9</w:t>
      </w:r>
      <w:r>
        <w:rPr>
          <w:rFonts w:hint="eastAsia" w:ascii="华文宋体" w:hAnsi="华文宋体" w:eastAsia="华文宋体" w:cs="华文宋体"/>
          <w:color w:val="auto"/>
          <w:sz w:val="24"/>
          <w:highlight w:val="none"/>
        </w:rPr>
        <w:t>:</w:t>
      </w:r>
      <w:r>
        <w:rPr>
          <w:rFonts w:hint="eastAsia" w:ascii="华文宋体" w:hAnsi="华文宋体" w:eastAsia="华文宋体" w:cs="华文宋体"/>
          <w:color w:val="auto"/>
          <w:sz w:val="24"/>
          <w:highlight w:val="none"/>
          <w:lang w:val="zh-CN"/>
        </w:rPr>
        <w:t>00-12</w:t>
      </w:r>
      <w:r>
        <w:rPr>
          <w:rFonts w:hint="eastAsia" w:ascii="华文宋体" w:hAnsi="华文宋体" w:eastAsia="华文宋体" w:cs="华文宋体"/>
          <w:color w:val="auto"/>
          <w:sz w:val="24"/>
          <w:highlight w:val="none"/>
        </w:rPr>
        <w:t>:</w:t>
      </w:r>
      <w:r>
        <w:rPr>
          <w:rFonts w:hint="eastAsia" w:ascii="华文宋体" w:hAnsi="华文宋体" w:eastAsia="华文宋体" w:cs="华文宋体"/>
          <w:color w:val="auto"/>
          <w:sz w:val="24"/>
          <w:highlight w:val="none"/>
          <w:lang w:val="zh-CN"/>
        </w:rPr>
        <w:t>00和下午14</w:t>
      </w:r>
      <w:r>
        <w:rPr>
          <w:rFonts w:hint="eastAsia" w:ascii="华文宋体" w:hAnsi="华文宋体" w:eastAsia="华文宋体" w:cs="华文宋体"/>
          <w:color w:val="auto"/>
          <w:sz w:val="24"/>
          <w:highlight w:val="none"/>
        </w:rPr>
        <w:t>:3</w:t>
      </w:r>
      <w:r>
        <w:rPr>
          <w:rFonts w:hint="eastAsia" w:ascii="华文宋体" w:hAnsi="华文宋体" w:eastAsia="华文宋体" w:cs="华文宋体"/>
          <w:color w:val="auto"/>
          <w:sz w:val="24"/>
          <w:highlight w:val="none"/>
          <w:lang w:val="zh-CN"/>
        </w:rPr>
        <w:t>0-17</w:t>
      </w:r>
      <w:r>
        <w:rPr>
          <w:rFonts w:hint="eastAsia" w:ascii="华文宋体" w:hAnsi="华文宋体" w:eastAsia="华文宋体" w:cs="华文宋体"/>
          <w:color w:val="auto"/>
          <w:sz w:val="24"/>
          <w:highlight w:val="none"/>
        </w:rPr>
        <w:t>:3</w:t>
      </w:r>
      <w:r>
        <w:rPr>
          <w:rFonts w:hint="eastAsia" w:ascii="华文宋体" w:hAnsi="华文宋体" w:eastAsia="华文宋体" w:cs="华文宋体"/>
          <w:color w:val="auto"/>
          <w:sz w:val="24"/>
          <w:highlight w:val="none"/>
          <w:lang w:val="zh-CN"/>
        </w:rPr>
        <w:t>0时，法定节假日除外，</w:t>
      </w:r>
      <w:r>
        <w:rPr>
          <w:rFonts w:hint="eastAsia" w:ascii="华文宋体" w:hAnsi="华文宋体" w:eastAsia="华文宋体" w:cs="华文宋体"/>
          <w:color w:val="auto"/>
          <w:sz w:val="24"/>
          <w:highlight w:val="none"/>
        </w:rPr>
        <w:t>不少于5个工作日</w:t>
      </w:r>
      <w:r>
        <w:rPr>
          <w:rFonts w:hint="eastAsia" w:ascii="华文宋体" w:hAnsi="华文宋体" w:eastAsia="华文宋体" w:cs="华文宋体"/>
          <w:color w:val="auto"/>
          <w:sz w:val="24"/>
          <w:highlight w:val="none"/>
          <w:lang w:val="zh-CN"/>
        </w:rPr>
        <w:t>）；</w:t>
      </w:r>
    </w:p>
    <w:p>
      <w:pPr>
        <w:keepNext w:val="0"/>
        <w:keepLines w:val="0"/>
        <w:pageBreakBefore w:val="0"/>
        <w:widowControl w:val="0"/>
        <w:numPr>
          <w:ilvl w:val="3"/>
          <w:numId w:val="11"/>
        </w:numPr>
        <w:tabs>
          <w:tab w:val="clear" w:pos="846"/>
        </w:tabs>
        <w:kinsoku/>
        <w:overflowPunct/>
        <w:autoSpaceDE/>
        <w:autoSpaceDN/>
        <w:bidi w:val="0"/>
        <w:adjustRightInd/>
        <w:snapToGrid/>
        <w:spacing w:line="460" w:lineRule="exact"/>
        <w:ind w:left="0" w:firstLine="480" w:firstLineChars="200"/>
        <w:textAlignment w:val="auto"/>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lang w:val="zh-CN"/>
        </w:rPr>
        <w:t>获取</w:t>
      </w:r>
      <w:r>
        <w:rPr>
          <w:rFonts w:hint="eastAsia" w:ascii="华文宋体" w:hAnsi="华文宋体" w:eastAsia="华文宋体" w:cs="华文宋体"/>
          <w:color w:val="auto"/>
          <w:sz w:val="24"/>
          <w:highlight w:val="none"/>
        </w:rPr>
        <w:t>竞争性磋商文件</w:t>
      </w:r>
      <w:r>
        <w:rPr>
          <w:rFonts w:hint="eastAsia" w:ascii="华文宋体" w:hAnsi="华文宋体" w:eastAsia="华文宋体" w:cs="华文宋体"/>
          <w:color w:val="auto"/>
          <w:sz w:val="24"/>
          <w:highlight w:val="none"/>
          <w:lang w:val="zh-CN"/>
        </w:rPr>
        <w:t>的方式或事项：</w:t>
      </w:r>
    </w:p>
    <w:p>
      <w:pPr>
        <w:pStyle w:val="47"/>
        <w:keepNext w:val="0"/>
        <w:keepLines w:val="0"/>
        <w:pageBreakBefore w:val="0"/>
        <w:widowControl w:val="0"/>
        <w:numPr>
          <w:ilvl w:val="0"/>
          <w:numId w:val="12"/>
        </w:numPr>
        <w:kinsoku/>
        <w:wordWrap w:val="0"/>
        <w:overflowPunct/>
        <w:topLinePunct/>
        <w:autoSpaceDE/>
        <w:autoSpaceDN/>
        <w:bidi w:val="0"/>
        <w:adjustRightInd/>
        <w:snapToGrid/>
        <w:spacing w:line="460" w:lineRule="exact"/>
        <w:ind w:firstLine="480" w:firstLineChars="200"/>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获取方式：</w:t>
      </w:r>
      <w:r>
        <w:rPr>
          <w:rFonts w:hint="eastAsia" w:ascii="华文宋体" w:hAnsi="华文宋体" w:eastAsia="华文宋体" w:cs="华文宋体"/>
          <w:color w:val="auto"/>
          <w:sz w:val="24"/>
          <w:szCs w:val="24"/>
          <w:highlight w:val="none"/>
          <w:lang w:val="en-US" w:eastAsia="zh-CN"/>
        </w:rPr>
        <w:t>现场</w:t>
      </w:r>
      <w:r>
        <w:rPr>
          <w:rFonts w:hint="eastAsia" w:ascii="华文宋体" w:hAnsi="华文宋体" w:eastAsia="华文宋体" w:cs="华文宋体"/>
          <w:color w:val="auto"/>
          <w:sz w:val="24"/>
          <w:szCs w:val="24"/>
          <w:highlight w:val="none"/>
        </w:rPr>
        <w:t>报名或</w:t>
      </w:r>
      <w:r>
        <w:rPr>
          <w:rFonts w:hint="eastAsia" w:ascii="华文宋体" w:hAnsi="华文宋体" w:eastAsia="华文宋体" w:cs="华文宋体"/>
          <w:color w:val="auto"/>
          <w:sz w:val="24"/>
          <w:szCs w:val="24"/>
          <w:highlight w:val="none"/>
          <w:lang w:val="en-US" w:eastAsia="zh-CN"/>
        </w:rPr>
        <w:t>网络</w:t>
      </w:r>
      <w:r>
        <w:rPr>
          <w:rFonts w:hint="eastAsia" w:ascii="华文宋体" w:hAnsi="华文宋体" w:eastAsia="华文宋体" w:cs="华文宋体"/>
          <w:color w:val="auto"/>
          <w:sz w:val="24"/>
          <w:szCs w:val="24"/>
          <w:highlight w:val="none"/>
        </w:rPr>
        <w:t>报名</w:t>
      </w:r>
    </w:p>
    <w:p>
      <w:pPr>
        <w:pStyle w:val="47"/>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华文宋体" w:hAnsi="华文宋体" w:eastAsia="华文宋体" w:cs="华文宋体"/>
          <w:b/>
          <w:bCs/>
          <w:sz w:val="24"/>
          <w:szCs w:val="24"/>
        </w:rPr>
      </w:pPr>
      <w:r>
        <w:rPr>
          <w:rFonts w:hint="eastAsia" w:ascii="华文宋体" w:hAnsi="华文宋体" w:eastAsia="华文宋体" w:cs="华文宋体"/>
          <w:b/>
          <w:bCs/>
          <w:sz w:val="24"/>
          <w:szCs w:val="24"/>
          <w:lang w:val="en-US" w:eastAsia="zh-CN"/>
        </w:rPr>
        <w:t>现场</w:t>
      </w:r>
      <w:r>
        <w:rPr>
          <w:rFonts w:hint="eastAsia" w:ascii="华文宋体" w:hAnsi="华文宋体" w:eastAsia="华文宋体" w:cs="华文宋体"/>
          <w:b/>
          <w:bCs/>
          <w:sz w:val="24"/>
          <w:szCs w:val="24"/>
        </w:rPr>
        <w:t>报名：</w:t>
      </w:r>
      <w:r>
        <w:rPr>
          <w:rFonts w:hint="eastAsia" w:ascii="华文宋体" w:hAnsi="华文宋体" w:eastAsia="华文宋体" w:cs="华文宋体"/>
          <w:b w:val="0"/>
          <w:bCs w:val="0"/>
          <w:sz w:val="24"/>
          <w:szCs w:val="24"/>
        </w:rPr>
        <w:t>各潜在供应商凭</w:t>
      </w:r>
      <w:r>
        <w:rPr>
          <w:rFonts w:hint="eastAsia" w:ascii="华文宋体" w:hAnsi="华文宋体" w:eastAsia="华文宋体" w:cs="华文宋体"/>
          <w:b/>
          <w:bCs/>
          <w:sz w:val="24"/>
          <w:szCs w:val="24"/>
        </w:rPr>
        <w:t>①</w:t>
      </w:r>
      <w:r>
        <w:rPr>
          <w:rFonts w:hint="eastAsia" w:ascii="华文宋体" w:hAnsi="华文宋体" w:eastAsia="华文宋体" w:cs="华文宋体"/>
          <w:b w:val="0"/>
          <w:bCs w:val="0"/>
          <w:sz w:val="24"/>
          <w:szCs w:val="24"/>
        </w:rPr>
        <w:t>采购文件获取记录表及其附件要求的材料（加盖单位公章）</w:t>
      </w:r>
      <w:r>
        <w:rPr>
          <w:rFonts w:hint="eastAsia" w:ascii="华文宋体" w:hAnsi="华文宋体" w:eastAsia="华文宋体" w:cs="华文宋体"/>
          <w:b/>
          <w:bCs/>
          <w:sz w:val="24"/>
          <w:szCs w:val="24"/>
        </w:rPr>
        <w:t>②</w:t>
      </w:r>
      <w:r>
        <w:rPr>
          <w:rFonts w:hint="eastAsia" w:ascii="华文宋体" w:hAnsi="华文宋体" w:eastAsia="华文宋体" w:cs="华文宋体"/>
          <w:b w:val="0"/>
          <w:bCs w:val="0"/>
          <w:sz w:val="24"/>
          <w:szCs w:val="24"/>
          <w:lang w:val="en-US" w:eastAsia="zh-CN"/>
        </w:rPr>
        <w:t>领购人员</w:t>
      </w:r>
      <w:r>
        <w:rPr>
          <w:rFonts w:hint="eastAsia" w:ascii="华文宋体" w:hAnsi="华文宋体" w:eastAsia="华文宋体" w:cs="华文宋体"/>
          <w:b w:val="0"/>
          <w:bCs w:val="0"/>
          <w:sz w:val="24"/>
          <w:szCs w:val="24"/>
        </w:rPr>
        <w:t>身份证原件</w:t>
      </w:r>
      <w:r>
        <w:rPr>
          <w:rFonts w:hint="eastAsia" w:ascii="华文宋体" w:hAnsi="华文宋体" w:eastAsia="华文宋体" w:cs="华文宋体"/>
          <w:b w:val="0"/>
          <w:bCs w:val="0"/>
          <w:sz w:val="24"/>
          <w:szCs w:val="24"/>
          <w:lang w:eastAsia="zh-CN"/>
        </w:rPr>
        <w:t>，</w:t>
      </w:r>
      <w:r>
        <w:rPr>
          <w:rFonts w:hint="eastAsia" w:ascii="华文宋体" w:hAnsi="华文宋体" w:eastAsia="华文宋体" w:cs="华文宋体"/>
          <w:b w:val="0"/>
          <w:bCs w:val="0"/>
          <w:sz w:val="24"/>
          <w:szCs w:val="24"/>
        </w:rPr>
        <w:t>到广州市天河区广州大道北613号城光大厦517室</w:t>
      </w:r>
      <w:r>
        <w:rPr>
          <w:rFonts w:hint="eastAsia" w:ascii="华文宋体" w:hAnsi="华文宋体" w:eastAsia="华文宋体" w:cs="华文宋体"/>
          <w:b w:val="0"/>
          <w:bCs w:val="0"/>
          <w:sz w:val="24"/>
          <w:szCs w:val="24"/>
          <w:lang w:val="en-US" w:eastAsia="zh-CN"/>
        </w:rPr>
        <w:t>广东公采招标有限公司</w:t>
      </w:r>
      <w:r>
        <w:rPr>
          <w:rFonts w:hint="eastAsia" w:ascii="华文宋体" w:hAnsi="华文宋体" w:eastAsia="华文宋体" w:cs="华文宋体"/>
          <w:b w:val="0"/>
          <w:bCs w:val="0"/>
          <w:sz w:val="24"/>
          <w:szCs w:val="24"/>
        </w:rPr>
        <w:t>办理报名登记，并领购磋商文件。</w:t>
      </w:r>
    </w:p>
    <w:p>
      <w:pPr>
        <w:pStyle w:val="47"/>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华文宋体" w:hAnsi="华文宋体" w:eastAsia="华文宋体" w:cs="华文宋体"/>
          <w:b/>
          <w:bCs/>
          <w:sz w:val="24"/>
          <w:szCs w:val="24"/>
        </w:rPr>
      </w:pPr>
      <w:r>
        <w:rPr>
          <w:rFonts w:hint="eastAsia" w:ascii="华文宋体" w:hAnsi="华文宋体" w:eastAsia="华文宋体" w:cs="华文宋体"/>
          <w:b/>
          <w:bCs/>
          <w:sz w:val="24"/>
          <w:szCs w:val="24"/>
          <w:lang w:val="en-US" w:eastAsia="zh-CN"/>
        </w:rPr>
        <w:t>网络</w:t>
      </w:r>
      <w:r>
        <w:rPr>
          <w:rFonts w:hint="eastAsia" w:ascii="华文宋体" w:hAnsi="华文宋体" w:eastAsia="华文宋体" w:cs="华文宋体"/>
          <w:b/>
          <w:bCs/>
          <w:sz w:val="24"/>
          <w:szCs w:val="24"/>
        </w:rPr>
        <w:t>报名：</w:t>
      </w:r>
      <w:r>
        <w:rPr>
          <w:rFonts w:hint="eastAsia" w:ascii="华文宋体" w:hAnsi="华文宋体" w:eastAsia="华文宋体" w:cs="华文宋体"/>
          <w:b w:val="0"/>
          <w:bCs w:val="0"/>
          <w:sz w:val="24"/>
          <w:szCs w:val="24"/>
        </w:rPr>
        <w:t>各潜在供应商将办理报名登记资料：</w:t>
      </w:r>
      <w:r>
        <w:rPr>
          <w:rFonts w:hint="eastAsia" w:ascii="华文宋体" w:hAnsi="华文宋体" w:eastAsia="华文宋体" w:cs="华文宋体"/>
          <w:b/>
          <w:bCs/>
          <w:sz w:val="24"/>
          <w:szCs w:val="24"/>
        </w:rPr>
        <w:t>①</w:t>
      </w:r>
      <w:r>
        <w:rPr>
          <w:rFonts w:hint="eastAsia" w:ascii="华文宋体" w:hAnsi="华文宋体" w:eastAsia="华文宋体" w:cs="华文宋体"/>
          <w:b w:val="0"/>
          <w:bCs w:val="0"/>
          <w:sz w:val="24"/>
          <w:szCs w:val="24"/>
        </w:rPr>
        <w:t>采购文件获取记录表原件</w:t>
      </w:r>
      <w:r>
        <w:rPr>
          <w:rFonts w:hint="eastAsia" w:ascii="华文宋体" w:hAnsi="华文宋体" w:eastAsia="华文宋体" w:cs="华文宋体"/>
          <w:b/>
          <w:bCs/>
          <w:sz w:val="24"/>
          <w:szCs w:val="24"/>
        </w:rPr>
        <w:t>②</w:t>
      </w:r>
      <w:r>
        <w:rPr>
          <w:rFonts w:hint="eastAsia" w:ascii="华文宋体" w:hAnsi="华文宋体" w:eastAsia="华文宋体" w:cs="华文宋体"/>
          <w:b w:val="0"/>
          <w:bCs w:val="0"/>
          <w:sz w:val="24"/>
          <w:szCs w:val="24"/>
        </w:rPr>
        <w:t>营业执照复印件</w:t>
      </w:r>
      <w:r>
        <w:rPr>
          <w:rFonts w:hint="eastAsia" w:ascii="华文宋体" w:hAnsi="华文宋体" w:eastAsia="华文宋体" w:cs="华文宋体"/>
          <w:b/>
          <w:bCs/>
          <w:sz w:val="24"/>
          <w:szCs w:val="24"/>
        </w:rPr>
        <w:t>③</w:t>
      </w:r>
      <w:r>
        <w:rPr>
          <w:rFonts w:hint="eastAsia" w:ascii="华文宋体" w:hAnsi="华文宋体" w:eastAsia="华文宋体" w:cs="华文宋体"/>
          <w:b w:val="0"/>
          <w:bCs w:val="0"/>
          <w:sz w:val="24"/>
          <w:szCs w:val="24"/>
        </w:rPr>
        <w:t>法定代表人证明/法定代表人授权委托书原件</w:t>
      </w:r>
      <w:r>
        <w:rPr>
          <w:rFonts w:hint="eastAsia" w:ascii="华文宋体" w:hAnsi="华文宋体" w:eastAsia="华文宋体" w:cs="华文宋体"/>
          <w:b/>
          <w:bCs/>
          <w:sz w:val="24"/>
          <w:szCs w:val="24"/>
        </w:rPr>
        <w:t>④</w:t>
      </w:r>
      <w:r>
        <w:rPr>
          <w:rFonts w:hint="eastAsia" w:ascii="华文宋体" w:hAnsi="华文宋体" w:eastAsia="华文宋体" w:cs="华文宋体"/>
          <w:b w:val="0"/>
          <w:bCs w:val="0"/>
          <w:sz w:val="24"/>
          <w:szCs w:val="24"/>
        </w:rPr>
        <w:t>本项目特定资格</w:t>
      </w:r>
      <w:r>
        <w:rPr>
          <w:rFonts w:hint="eastAsia" w:ascii="华文宋体" w:hAnsi="华文宋体" w:eastAsia="华文宋体" w:cs="华文宋体"/>
          <w:b w:val="0"/>
          <w:bCs w:val="0"/>
          <w:sz w:val="24"/>
          <w:szCs w:val="24"/>
          <w:lang w:val="en-US" w:eastAsia="zh-CN"/>
        </w:rPr>
        <w:t>文件</w:t>
      </w:r>
      <w:r>
        <w:rPr>
          <w:rFonts w:hint="eastAsia" w:ascii="华文宋体" w:hAnsi="华文宋体" w:eastAsia="华文宋体" w:cs="华文宋体"/>
          <w:b w:val="0"/>
          <w:bCs w:val="0"/>
          <w:sz w:val="24"/>
          <w:szCs w:val="24"/>
        </w:rPr>
        <w:t>复印件</w:t>
      </w:r>
      <w:r>
        <w:rPr>
          <w:rFonts w:hint="eastAsia" w:ascii="华文宋体" w:hAnsi="华文宋体" w:eastAsia="华文宋体" w:cs="华文宋体"/>
          <w:b w:val="0"/>
          <w:bCs w:val="0"/>
          <w:sz w:val="24"/>
          <w:szCs w:val="24"/>
          <w:lang w:val="en-US" w:eastAsia="zh-CN"/>
        </w:rPr>
        <w:t>*</w:t>
      </w:r>
      <w:r>
        <w:rPr>
          <w:rFonts w:hint="eastAsia" w:ascii="华文宋体" w:hAnsi="华文宋体" w:eastAsia="华文宋体" w:cs="华文宋体"/>
          <w:b w:val="0"/>
          <w:bCs w:val="0"/>
          <w:sz w:val="24"/>
          <w:szCs w:val="24"/>
          <w:lang w:eastAsia="zh-CN"/>
        </w:rPr>
        <w:t>【提供交通行政主管部门审核通过的二类及以上机动车维修经营备案证明材料复印件，或提供承诺函承诺中标后一个月内完成二类及以上机动车维修经营备案】</w:t>
      </w:r>
      <w:r>
        <w:rPr>
          <w:rFonts w:hint="eastAsia" w:ascii="华文宋体" w:hAnsi="华文宋体" w:eastAsia="华文宋体" w:cs="华文宋体"/>
          <w:b/>
          <w:bCs/>
          <w:sz w:val="24"/>
          <w:szCs w:val="24"/>
          <w:lang w:val="en-US" w:eastAsia="zh-CN"/>
        </w:rPr>
        <w:t>⑤</w:t>
      </w:r>
      <w:r>
        <w:rPr>
          <w:rFonts w:hint="eastAsia" w:ascii="华文宋体" w:hAnsi="华文宋体" w:eastAsia="华文宋体" w:cs="华文宋体"/>
          <w:b w:val="0"/>
          <w:bCs w:val="0"/>
          <w:sz w:val="24"/>
          <w:szCs w:val="24"/>
        </w:rPr>
        <w:t>报名费转账回单</w:t>
      </w:r>
      <w:r>
        <w:rPr>
          <w:rFonts w:hint="eastAsia" w:ascii="华文宋体" w:hAnsi="华文宋体" w:eastAsia="华文宋体" w:cs="华文宋体"/>
          <w:b w:val="0"/>
          <w:bCs w:val="0"/>
          <w:sz w:val="24"/>
          <w:szCs w:val="24"/>
          <w:lang w:val="en-US" w:eastAsia="zh-CN"/>
        </w:rPr>
        <w:t>或截图</w:t>
      </w:r>
      <w:r>
        <w:rPr>
          <w:rFonts w:hint="eastAsia" w:ascii="华文宋体" w:hAnsi="华文宋体" w:eastAsia="华文宋体" w:cs="华文宋体"/>
          <w:b w:val="0"/>
          <w:bCs w:val="0"/>
          <w:sz w:val="24"/>
          <w:szCs w:val="24"/>
          <w:lang w:eastAsia="zh-CN"/>
        </w:rPr>
        <w:t>，</w:t>
      </w:r>
      <w:r>
        <w:rPr>
          <w:rStyle w:val="36"/>
          <w:rFonts w:hint="eastAsia" w:ascii="华文宋体" w:hAnsi="华文宋体" w:eastAsia="华文宋体" w:cs="华文宋体"/>
          <w:b/>
          <w:bCs/>
          <w:color w:val="auto"/>
          <w:sz w:val="24"/>
          <w:szCs w:val="24"/>
          <w:u w:val="none"/>
        </w:rPr>
        <w:t>以（供应商名称+项目名称）作为邮件主题</w:t>
      </w:r>
      <w:r>
        <w:rPr>
          <w:rStyle w:val="36"/>
          <w:rFonts w:hint="eastAsia" w:ascii="华文宋体" w:hAnsi="华文宋体" w:eastAsia="华文宋体" w:cs="华文宋体"/>
          <w:b w:val="0"/>
          <w:bCs w:val="0"/>
          <w:color w:val="auto"/>
          <w:sz w:val="24"/>
          <w:szCs w:val="24"/>
          <w:u w:val="none"/>
        </w:rPr>
        <w:t>将报名资料</w:t>
      </w:r>
      <w:r>
        <w:rPr>
          <w:rStyle w:val="36"/>
          <w:rFonts w:hint="eastAsia" w:ascii="华文宋体" w:hAnsi="华文宋体" w:eastAsia="华文宋体" w:cs="华文宋体"/>
          <w:b w:val="0"/>
          <w:bCs w:val="0"/>
          <w:color w:val="auto"/>
          <w:sz w:val="24"/>
          <w:szCs w:val="24"/>
          <w:u w:val="none"/>
          <w:lang w:val="en-US" w:eastAsia="zh-CN"/>
        </w:rPr>
        <w:t>的</w:t>
      </w:r>
      <w:r>
        <w:rPr>
          <w:rStyle w:val="36"/>
          <w:rFonts w:hint="eastAsia" w:ascii="华文宋体" w:hAnsi="华文宋体" w:eastAsia="华文宋体" w:cs="华文宋体"/>
          <w:b w:val="0"/>
          <w:bCs w:val="0"/>
          <w:color w:val="auto"/>
          <w:sz w:val="24"/>
          <w:szCs w:val="24"/>
          <w:u w:val="none"/>
        </w:rPr>
        <w:t>扫描件发送至</w:t>
      </w:r>
      <w:r>
        <w:rPr>
          <w:rFonts w:hint="eastAsia" w:ascii="华文宋体" w:hAnsi="华文宋体" w:eastAsia="华文宋体" w:cs="华文宋体"/>
          <w:b w:val="0"/>
          <w:bCs w:val="0"/>
          <w:sz w:val="24"/>
          <w:szCs w:val="24"/>
        </w:rPr>
        <w:t>采购代理机构邮箱（welcome@gdgongcai.com），*必填项不可遗漏，以收到邮箱邮件时间为准，采购代理机构工作人员确认无误后办理报名登记手续，并以电子邮件方式发送电子版磋商文件</w:t>
      </w:r>
      <w:r>
        <w:rPr>
          <w:rFonts w:hint="eastAsia" w:ascii="华文宋体" w:hAnsi="华文宋体" w:eastAsia="华文宋体" w:cs="华文宋体"/>
          <w:b w:val="0"/>
          <w:bCs w:val="0"/>
          <w:sz w:val="24"/>
          <w:szCs w:val="24"/>
          <w:lang w:val="en-US" w:eastAsia="zh-CN"/>
        </w:rPr>
        <w:t>和</w:t>
      </w:r>
      <w:r>
        <w:rPr>
          <w:rFonts w:hint="eastAsia" w:ascii="华文宋体" w:hAnsi="华文宋体" w:eastAsia="华文宋体" w:cs="华文宋体"/>
          <w:b w:val="0"/>
          <w:bCs w:val="0"/>
          <w:sz w:val="24"/>
          <w:szCs w:val="24"/>
        </w:rPr>
        <w:t>报名费</w:t>
      </w:r>
      <w:r>
        <w:rPr>
          <w:rFonts w:hint="eastAsia" w:ascii="华文宋体" w:hAnsi="华文宋体" w:eastAsia="华文宋体" w:cs="华文宋体"/>
          <w:b w:val="0"/>
          <w:bCs w:val="0"/>
          <w:sz w:val="24"/>
          <w:szCs w:val="24"/>
          <w:lang w:val="en-US" w:eastAsia="zh-CN"/>
        </w:rPr>
        <w:t>收据</w:t>
      </w:r>
      <w:r>
        <w:rPr>
          <w:rFonts w:hint="eastAsia" w:ascii="华文宋体" w:hAnsi="华文宋体" w:eastAsia="华文宋体" w:cs="华文宋体"/>
          <w:b w:val="0"/>
          <w:bCs w:val="0"/>
          <w:sz w:val="24"/>
          <w:szCs w:val="24"/>
        </w:rPr>
        <w:t>。</w:t>
      </w:r>
    </w:p>
    <w:p>
      <w:pPr>
        <w:pStyle w:val="47"/>
        <w:keepNext w:val="0"/>
        <w:keepLines w:val="0"/>
        <w:pageBreakBefore w:val="0"/>
        <w:widowControl w:val="0"/>
        <w:numPr>
          <w:ilvl w:val="0"/>
          <w:numId w:val="12"/>
        </w:numPr>
        <w:kinsoku/>
        <w:wordWrap w:val="0"/>
        <w:overflowPunct/>
        <w:topLinePunct/>
        <w:autoSpaceDE/>
        <w:autoSpaceDN/>
        <w:bidi w:val="0"/>
        <w:adjustRightInd/>
        <w:snapToGrid/>
        <w:spacing w:line="460" w:lineRule="exact"/>
        <w:ind w:left="0" w:leftChars="0" w:firstLine="480" w:firstLineChars="200"/>
        <w:textAlignment w:val="auto"/>
        <w:rPr>
          <w:rFonts w:hint="eastAsia" w:ascii="华文宋体" w:hAnsi="华文宋体" w:eastAsia="华文宋体" w:cs="华文宋体"/>
          <w:b w:val="0"/>
          <w:bCs w:val="0"/>
          <w:sz w:val="24"/>
          <w:szCs w:val="24"/>
        </w:rPr>
      </w:pPr>
      <w:r>
        <w:rPr>
          <w:rFonts w:hint="eastAsia" w:ascii="华文宋体" w:hAnsi="华文宋体" w:eastAsia="华文宋体" w:cs="华文宋体"/>
          <w:b w:val="0"/>
          <w:bCs w:val="0"/>
          <w:sz w:val="24"/>
          <w:szCs w:val="24"/>
        </w:rPr>
        <w:t>竞争性磋商文件售价：每套售价</w:t>
      </w:r>
      <w:r>
        <w:rPr>
          <w:rFonts w:hint="eastAsia" w:ascii="华文宋体" w:hAnsi="华文宋体" w:eastAsia="华文宋体" w:cs="华文宋体"/>
          <w:b w:val="0"/>
          <w:bCs w:val="0"/>
          <w:sz w:val="24"/>
          <w:szCs w:val="24"/>
          <w:lang w:val="en-US" w:eastAsia="zh-CN"/>
        </w:rPr>
        <w:t>3</w:t>
      </w:r>
      <w:r>
        <w:rPr>
          <w:rFonts w:hint="eastAsia" w:ascii="华文宋体" w:hAnsi="华文宋体" w:eastAsia="华文宋体" w:cs="华文宋体"/>
          <w:b w:val="0"/>
          <w:bCs w:val="0"/>
          <w:sz w:val="24"/>
          <w:szCs w:val="24"/>
        </w:rPr>
        <w:t>00元，售后不退。报名费接受银行转账、微信或支付宝、现金等方式</w:t>
      </w:r>
      <w:r>
        <w:rPr>
          <w:rFonts w:hint="eastAsia" w:ascii="华文宋体" w:hAnsi="华文宋体" w:eastAsia="华文宋体" w:cs="华文宋体"/>
          <w:b w:val="0"/>
          <w:bCs w:val="0"/>
          <w:sz w:val="24"/>
          <w:szCs w:val="24"/>
          <w:lang w:eastAsia="zh-CN"/>
        </w:rPr>
        <w:t>，</w:t>
      </w:r>
      <w:r>
        <w:rPr>
          <w:rFonts w:hint="eastAsia" w:ascii="华文宋体" w:hAnsi="华文宋体" w:eastAsia="华文宋体" w:cs="华文宋体"/>
          <w:b w:val="0"/>
          <w:bCs w:val="0"/>
          <w:sz w:val="24"/>
          <w:szCs w:val="24"/>
        </w:rPr>
        <w:t>请</w:t>
      </w:r>
      <w:r>
        <w:rPr>
          <w:rFonts w:hint="eastAsia" w:ascii="华文宋体" w:hAnsi="华文宋体" w:eastAsia="华文宋体" w:cs="华文宋体"/>
          <w:b w:val="0"/>
          <w:bCs w:val="0"/>
          <w:sz w:val="24"/>
          <w:szCs w:val="24"/>
          <w:lang w:val="en-US" w:eastAsia="zh-CN"/>
        </w:rPr>
        <w:t>通过银行转账或</w:t>
      </w:r>
      <w:r>
        <w:rPr>
          <w:rFonts w:hint="eastAsia" w:ascii="华文宋体" w:hAnsi="华文宋体" w:eastAsia="华文宋体" w:cs="华文宋体"/>
          <w:b w:val="0"/>
          <w:bCs w:val="0"/>
          <w:sz w:val="24"/>
          <w:szCs w:val="24"/>
        </w:rPr>
        <w:t>在广东公采招标有限公司网站（www.gdgongcai.com）—→办事指南—→报名登记的页面扫码支付</w:t>
      </w:r>
      <w:r>
        <w:rPr>
          <w:rFonts w:hint="eastAsia" w:ascii="华文宋体" w:hAnsi="华文宋体" w:eastAsia="华文宋体" w:cs="华文宋体"/>
          <w:b w:val="0"/>
          <w:bCs w:val="0"/>
          <w:sz w:val="24"/>
          <w:szCs w:val="24"/>
          <w:lang w:val="en-US" w:eastAsia="zh-CN"/>
        </w:rPr>
        <w:t>；</w:t>
      </w:r>
      <w:r>
        <w:rPr>
          <w:rFonts w:hint="eastAsia" w:ascii="华文宋体" w:hAnsi="华文宋体" w:eastAsia="华文宋体" w:cs="华文宋体"/>
          <w:b w:val="0"/>
          <w:bCs w:val="0"/>
          <w:sz w:val="24"/>
          <w:szCs w:val="24"/>
        </w:rPr>
        <w:t>转账时备注项目名称及投标公司名称</w:t>
      </w:r>
      <w:r>
        <w:rPr>
          <w:rFonts w:hint="eastAsia" w:ascii="华文宋体" w:hAnsi="华文宋体" w:eastAsia="华文宋体" w:cs="华文宋体"/>
          <w:b w:val="0"/>
          <w:bCs w:val="0"/>
          <w:sz w:val="24"/>
          <w:szCs w:val="24"/>
          <w:lang w:eastAsia="zh-CN"/>
        </w:rPr>
        <w:t>。</w:t>
      </w:r>
      <w:r>
        <w:rPr>
          <w:rFonts w:hint="eastAsia" w:ascii="华文宋体" w:hAnsi="华文宋体" w:eastAsia="华文宋体" w:cs="华文宋体"/>
          <w:b w:val="0"/>
          <w:bCs w:val="0"/>
          <w:sz w:val="24"/>
          <w:szCs w:val="24"/>
          <w:lang w:eastAsia="zh-CN"/>
        </w:rPr>
        <w:br w:type="textWrapping"/>
      </w:r>
      <w:r>
        <w:rPr>
          <w:rFonts w:hint="eastAsia" w:ascii="华文宋体" w:hAnsi="华文宋体" w:eastAsia="华文宋体" w:cs="华文宋体"/>
          <w:b w:val="0"/>
          <w:bCs w:val="0"/>
          <w:sz w:val="24"/>
          <w:szCs w:val="24"/>
          <w:lang w:val="en-US" w:eastAsia="zh-CN"/>
        </w:rPr>
        <w:t xml:space="preserve">    </w:t>
      </w:r>
      <w:r>
        <w:rPr>
          <w:rFonts w:hint="eastAsia" w:ascii="华文宋体" w:hAnsi="华文宋体" w:eastAsia="华文宋体" w:cs="华文宋体"/>
          <w:b/>
          <w:bCs/>
          <w:sz w:val="24"/>
          <w:szCs w:val="24"/>
        </w:rPr>
        <w:t>注:</w:t>
      </w:r>
      <w:r>
        <w:rPr>
          <w:rFonts w:hint="eastAsia" w:ascii="华文宋体" w:hAnsi="华文宋体" w:eastAsia="华文宋体" w:cs="华文宋体"/>
          <w:b w:val="0"/>
          <w:bCs w:val="0"/>
          <w:sz w:val="24"/>
          <w:szCs w:val="24"/>
          <w:lang w:val="en-US" w:eastAsia="zh-CN"/>
        </w:rPr>
        <w:t xml:space="preserve"> 1) </w:t>
      </w:r>
      <w:r>
        <w:rPr>
          <w:rFonts w:hint="eastAsia" w:ascii="华文宋体" w:hAnsi="华文宋体" w:eastAsia="华文宋体" w:cs="华文宋体"/>
          <w:b w:val="0"/>
          <w:bCs w:val="0"/>
          <w:sz w:val="24"/>
          <w:szCs w:val="24"/>
        </w:rPr>
        <w:t>为确保领购行为属于供应商行为而非其他个人行为，各潜在供应商的法定代表人或其授权代表在领购磋商文件时，领购人员应附上必要的法定代表人证明/法定代表人授权委托书并加盖单位公章</w:t>
      </w:r>
      <w:r>
        <w:rPr>
          <w:rFonts w:hint="eastAsia" w:ascii="华文宋体" w:hAnsi="华文宋体" w:eastAsia="华文宋体" w:cs="华文宋体"/>
          <w:sz w:val="24"/>
        </w:rPr>
        <w:t>（法人本人参加的可</w:t>
      </w:r>
      <w:r>
        <w:rPr>
          <w:rFonts w:hint="eastAsia" w:ascii="华文宋体" w:hAnsi="华文宋体" w:eastAsia="华文宋体" w:cs="华文宋体"/>
          <w:sz w:val="24"/>
          <w:lang w:val="en-US" w:eastAsia="zh-CN"/>
        </w:rPr>
        <w:t>不</w:t>
      </w:r>
      <w:r>
        <w:rPr>
          <w:rFonts w:hint="eastAsia" w:ascii="华文宋体" w:hAnsi="华文宋体" w:eastAsia="华文宋体" w:cs="华文宋体"/>
          <w:sz w:val="24"/>
          <w:lang w:eastAsia="zh-CN"/>
        </w:rPr>
        <w:t>提供</w:t>
      </w:r>
      <w:r>
        <w:rPr>
          <w:rFonts w:hint="eastAsia" w:ascii="华文宋体" w:hAnsi="华文宋体" w:eastAsia="华文宋体" w:cs="华文宋体"/>
          <w:sz w:val="24"/>
        </w:rPr>
        <w:t>授权委托书）</w:t>
      </w:r>
      <w:r>
        <w:rPr>
          <w:rFonts w:hint="eastAsia" w:ascii="华文宋体" w:hAnsi="华文宋体" w:eastAsia="华文宋体" w:cs="华文宋体"/>
          <w:b w:val="0"/>
          <w:bCs w:val="0"/>
          <w:sz w:val="24"/>
          <w:szCs w:val="24"/>
        </w:rPr>
        <w:t>。</w:t>
      </w:r>
    </w:p>
    <w:p>
      <w:pPr>
        <w:pStyle w:val="47"/>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华文宋体" w:hAnsi="华文宋体" w:eastAsia="华文宋体" w:cs="华文宋体"/>
          <w:b w:val="0"/>
          <w:bCs w:val="0"/>
          <w:sz w:val="24"/>
          <w:szCs w:val="24"/>
        </w:rPr>
      </w:pPr>
      <w:r>
        <w:rPr>
          <w:rFonts w:hint="eastAsia" w:ascii="华文宋体" w:hAnsi="华文宋体" w:eastAsia="华文宋体" w:cs="华文宋体"/>
          <w:b w:val="0"/>
          <w:bCs w:val="0"/>
          <w:sz w:val="24"/>
          <w:szCs w:val="24"/>
          <w:lang w:val="en-US" w:eastAsia="zh-CN"/>
        </w:rPr>
        <w:t>2)</w:t>
      </w:r>
      <w:r>
        <w:rPr>
          <w:rFonts w:hint="eastAsia" w:ascii="华文宋体" w:hAnsi="华文宋体" w:eastAsia="华文宋体" w:cs="华文宋体"/>
          <w:b w:val="0"/>
          <w:bCs w:val="0"/>
          <w:sz w:val="24"/>
          <w:szCs w:val="24"/>
        </w:rPr>
        <w:t>《采购文件获取记录表》请登录广东公采招标有限公司网站（www.gdgongcai.com）—→办事指南—→报名登记—→下载。</w:t>
      </w:r>
    </w:p>
    <w:p>
      <w:pPr>
        <w:pStyle w:val="47"/>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华文宋体" w:hAnsi="华文宋体" w:eastAsia="华文宋体" w:cs="华文宋体"/>
          <w:b w:val="0"/>
          <w:bCs w:val="0"/>
          <w:sz w:val="24"/>
          <w:szCs w:val="24"/>
          <w:lang w:eastAsia="zh-CN"/>
        </w:rPr>
      </w:pPr>
      <w:r>
        <w:rPr>
          <w:rFonts w:hint="eastAsia" w:ascii="华文宋体" w:hAnsi="华文宋体" w:eastAsia="华文宋体" w:cs="华文宋体"/>
          <w:b w:val="0"/>
          <w:bCs w:val="0"/>
          <w:sz w:val="24"/>
          <w:szCs w:val="24"/>
          <w:lang w:val="en-US" w:eastAsia="zh-CN"/>
        </w:rPr>
        <w:t>3) 请在</w:t>
      </w:r>
      <w:r>
        <w:rPr>
          <w:rFonts w:hint="eastAsia" w:ascii="华文宋体" w:hAnsi="华文宋体" w:eastAsia="华文宋体" w:cs="华文宋体"/>
          <w:b w:val="0"/>
          <w:bCs w:val="0"/>
          <w:sz w:val="24"/>
          <w:szCs w:val="24"/>
        </w:rPr>
        <w:t>工作时间拨打办公电话020-38083016确认网络报名成功</w:t>
      </w:r>
      <w:r>
        <w:rPr>
          <w:rFonts w:hint="eastAsia" w:ascii="华文宋体" w:hAnsi="华文宋体" w:eastAsia="华文宋体" w:cs="华文宋体"/>
          <w:b w:val="0"/>
          <w:bCs w:val="0"/>
          <w:sz w:val="24"/>
          <w:szCs w:val="24"/>
          <w:lang w:eastAsia="zh-CN"/>
        </w:rPr>
        <w:t>。</w:t>
      </w:r>
    </w:p>
    <w:p>
      <w:pPr>
        <w:pStyle w:val="47"/>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华文宋体" w:hAnsi="华文宋体" w:eastAsia="华文宋体" w:cs="华文宋体"/>
          <w:sz w:val="21"/>
          <w:lang w:val="en-US" w:eastAsia="zh-CN"/>
        </w:rPr>
      </w:pPr>
      <w:r>
        <w:rPr>
          <w:rFonts w:hint="eastAsia" w:ascii="华文宋体" w:hAnsi="华文宋体" w:eastAsia="华文宋体" w:cs="华文宋体"/>
          <w:b w:val="0"/>
          <w:bCs w:val="0"/>
          <w:sz w:val="24"/>
          <w:szCs w:val="24"/>
          <w:lang w:val="en-US" w:eastAsia="zh-CN"/>
        </w:rPr>
        <w:t xml:space="preserve">4) 报名成功的供应商，请在递交竞争性磋商响应文件截止时间前向采购代理机构提交网络报名的纸质文件原件。 </w:t>
      </w:r>
      <w:r>
        <w:rPr>
          <w:rFonts w:hint="eastAsia" w:ascii="华文宋体" w:hAnsi="华文宋体" w:eastAsia="华文宋体" w:cs="华文宋体"/>
          <w:b w:val="0"/>
          <w:bCs w:val="0"/>
          <w:sz w:val="24"/>
          <w:szCs w:val="24"/>
          <w:lang w:val="en-US" w:eastAsia="zh-CN"/>
        </w:rPr>
        <w:br w:type="textWrapping"/>
      </w:r>
      <w:r>
        <w:rPr>
          <w:rFonts w:hint="eastAsia" w:ascii="华文宋体" w:hAnsi="华文宋体" w:eastAsia="华文宋体" w:cs="华文宋体"/>
          <w:b w:val="0"/>
          <w:bCs w:val="0"/>
          <w:sz w:val="24"/>
          <w:szCs w:val="24"/>
          <w:lang w:val="en-US" w:eastAsia="zh-CN"/>
        </w:rPr>
        <w:t xml:space="preserve">    5) 已经办理报名并成功获取竞争性磋商文件的供应商参加竞争性磋商采购活动的，不代表已经通过初步评审。</w:t>
      </w:r>
      <w:r>
        <w:rPr>
          <w:rFonts w:hint="eastAsia" w:ascii="华文宋体" w:hAnsi="华文宋体" w:eastAsia="华文宋体" w:cs="华文宋体"/>
          <w:b w:val="0"/>
          <w:bCs w:val="0"/>
          <w:sz w:val="24"/>
          <w:szCs w:val="24"/>
          <w:lang w:val="en-US" w:eastAsia="zh-CN"/>
        </w:rPr>
        <w:br w:type="textWrapping"/>
      </w:r>
    </w:p>
    <w:p>
      <w:pPr>
        <w:numPr>
          <w:ilvl w:val="0"/>
          <w:numId w:val="6"/>
        </w:numPr>
        <w:spacing w:line="430" w:lineRule="exact"/>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递交竞争性磋商响应文件的截止时间及地点等</w:t>
      </w:r>
      <w:bookmarkEnd w:id="20"/>
    </w:p>
    <w:p>
      <w:pPr>
        <w:numPr>
          <w:ilvl w:val="0"/>
          <w:numId w:val="13"/>
        </w:numPr>
        <w:spacing w:line="430" w:lineRule="exact"/>
        <w:ind w:firstLine="480" w:firstLineChars="200"/>
        <w:rPr>
          <w:rFonts w:hint="eastAsia" w:ascii="华文宋体" w:hAnsi="华文宋体" w:eastAsia="华文宋体" w:cs="华文宋体"/>
          <w:color w:val="auto"/>
          <w:sz w:val="24"/>
          <w:highlight w:val="none"/>
          <w:lang w:val="zh-CN"/>
        </w:rPr>
      </w:pPr>
      <w:bookmarkStart w:id="21" w:name="_Hlk7195788"/>
      <w:r>
        <w:rPr>
          <w:rFonts w:hint="eastAsia" w:ascii="华文宋体" w:hAnsi="华文宋体" w:eastAsia="华文宋体" w:cs="华文宋体"/>
          <w:color w:val="auto"/>
          <w:sz w:val="24"/>
          <w:highlight w:val="none"/>
        </w:rPr>
        <w:t>递交竞争性磋商响应文件的截止时间</w:t>
      </w:r>
      <w:r>
        <w:rPr>
          <w:rFonts w:hint="eastAsia" w:ascii="华文宋体" w:hAnsi="华文宋体" w:eastAsia="华文宋体" w:cs="华文宋体"/>
          <w:color w:val="auto"/>
          <w:sz w:val="24"/>
          <w:highlight w:val="none"/>
          <w:lang w:val="zh-CN"/>
        </w:rPr>
        <w:t>：</w:t>
      </w:r>
      <w:r>
        <w:rPr>
          <w:rFonts w:hint="eastAsia" w:ascii="华文宋体" w:hAnsi="华文宋体" w:eastAsia="华文宋体" w:cs="华文宋体"/>
          <w:color w:val="auto"/>
          <w:sz w:val="24"/>
          <w:highlight w:val="none"/>
        </w:rPr>
        <w:t>2023</w:t>
      </w:r>
      <w:r>
        <w:rPr>
          <w:rFonts w:hint="eastAsia" w:ascii="华文宋体" w:hAnsi="华文宋体" w:eastAsia="华文宋体" w:cs="华文宋体"/>
          <w:color w:val="auto"/>
          <w:sz w:val="24"/>
          <w:highlight w:val="none"/>
          <w:lang w:val="zh-CN"/>
        </w:rPr>
        <w:t>年</w:t>
      </w:r>
      <w:r>
        <w:rPr>
          <w:rFonts w:hint="eastAsia" w:ascii="华文宋体" w:hAnsi="华文宋体" w:eastAsia="华文宋体" w:cs="华文宋体"/>
          <w:color w:val="auto"/>
          <w:sz w:val="24"/>
          <w:highlight w:val="none"/>
          <w:lang w:val="en-US" w:eastAsia="zh-CN"/>
        </w:rPr>
        <w:t>5</w:t>
      </w:r>
      <w:r>
        <w:rPr>
          <w:rFonts w:hint="eastAsia" w:ascii="华文宋体" w:hAnsi="华文宋体" w:eastAsia="华文宋体" w:cs="华文宋体"/>
          <w:color w:val="auto"/>
          <w:sz w:val="24"/>
          <w:highlight w:val="none"/>
        </w:rPr>
        <w:t>月</w:t>
      </w:r>
      <w:r>
        <w:rPr>
          <w:rFonts w:hint="eastAsia" w:ascii="华文宋体" w:hAnsi="华文宋体" w:eastAsia="华文宋体" w:cs="华文宋体"/>
          <w:color w:val="auto"/>
          <w:sz w:val="24"/>
          <w:highlight w:val="none"/>
          <w:lang w:val="en-US" w:eastAsia="zh-CN"/>
        </w:rPr>
        <w:t>6</w:t>
      </w:r>
      <w:r>
        <w:rPr>
          <w:rFonts w:hint="eastAsia" w:ascii="华文宋体" w:hAnsi="华文宋体" w:eastAsia="华文宋体" w:cs="华文宋体"/>
          <w:color w:val="auto"/>
          <w:sz w:val="24"/>
          <w:highlight w:val="none"/>
        </w:rPr>
        <w:t>日</w:t>
      </w:r>
      <w:r>
        <w:rPr>
          <w:rFonts w:hint="eastAsia" w:ascii="华文宋体" w:hAnsi="华文宋体" w:eastAsia="华文宋体" w:cs="华文宋体"/>
          <w:color w:val="auto"/>
          <w:sz w:val="24"/>
          <w:highlight w:val="none"/>
          <w:lang w:val="en-US" w:eastAsia="zh-CN"/>
        </w:rPr>
        <w:t>上午09</w:t>
      </w:r>
      <w:r>
        <w:rPr>
          <w:rFonts w:hint="eastAsia" w:ascii="华文宋体" w:hAnsi="华文宋体" w:eastAsia="华文宋体" w:cs="华文宋体"/>
          <w:color w:val="auto"/>
          <w:sz w:val="24"/>
          <w:highlight w:val="none"/>
          <w:lang w:val="zh-CN"/>
        </w:rPr>
        <w:t>:</w:t>
      </w:r>
      <w:r>
        <w:rPr>
          <w:rFonts w:hint="eastAsia" w:ascii="华文宋体" w:hAnsi="华文宋体" w:eastAsia="华文宋体" w:cs="华文宋体"/>
          <w:color w:val="auto"/>
          <w:sz w:val="24"/>
          <w:highlight w:val="none"/>
        </w:rPr>
        <w:t>30</w:t>
      </w:r>
    </w:p>
    <w:p>
      <w:pPr>
        <w:numPr>
          <w:ilvl w:val="0"/>
          <w:numId w:val="13"/>
        </w:numPr>
        <w:spacing w:line="430" w:lineRule="exact"/>
        <w:ind w:firstLine="480" w:firstLineChars="200"/>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rPr>
        <w:t>竞争性磋商响应文件</w:t>
      </w:r>
      <w:r>
        <w:rPr>
          <w:rFonts w:hint="eastAsia" w:ascii="华文宋体" w:hAnsi="华文宋体" w:eastAsia="华文宋体" w:cs="华文宋体"/>
          <w:color w:val="auto"/>
          <w:sz w:val="24"/>
          <w:highlight w:val="none"/>
          <w:lang w:val="zh-CN"/>
        </w:rPr>
        <w:t>提交地点：广州市天河区广州大道北613号城光大厦515室广东公采招标有限公司</w:t>
      </w:r>
    </w:p>
    <w:p>
      <w:pPr>
        <w:numPr>
          <w:ilvl w:val="0"/>
          <w:numId w:val="13"/>
        </w:numPr>
        <w:spacing w:line="430" w:lineRule="exact"/>
        <w:ind w:firstLine="480" w:firstLineChars="200"/>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rPr>
        <w:t>竞争性磋商会议的</w:t>
      </w:r>
      <w:r>
        <w:rPr>
          <w:rFonts w:hint="eastAsia" w:ascii="华文宋体" w:hAnsi="华文宋体" w:eastAsia="华文宋体" w:cs="华文宋体"/>
          <w:color w:val="auto"/>
          <w:sz w:val="24"/>
          <w:highlight w:val="none"/>
          <w:lang w:val="zh-CN"/>
        </w:rPr>
        <w:t>时间：</w:t>
      </w:r>
      <w:r>
        <w:rPr>
          <w:rFonts w:hint="eastAsia" w:ascii="华文宋体" w:hAnsi="华文宋体" w:eastAsia="华文宋体" w:cs="华文宋体"/>
          <w:color w:val="auto"/>
          <w:sz w:val="24"/>
          <w:highlight w:val="none"/>
        </w:rPr>
        <w:t>2023</w:t>
      </w:r>
      <w:r>
        <w:rPr>
          <w:rFonts w:hint="eastAsia" w:ascii="华文宋体" w:hAnsi="华文宋体" w:eastAsia="华文宋体" w:cs="华文宋体"/>
          <w:color w:val="auto"/>
          <w:sz w:val="24"/>
          <w:highlight w:val="none"/>
          <w:lang w:val="zh-CN"/>
        </w:rPr>
        <w:t>年</w:t>
      </w:r>
      <w:r>
        <w:rPr>
          <w:rFonts w:hint="eastAsia" w:ascii="华文宋体" w:hAnsi="华文宋体" w:eastAsia="华文宋体" w:cs="华文宋体"/>
          <w:color w:val="auto"/>
          <w:sz w:val="24"/>
          <w:highlight w:val="none"/>
          <w:lang w:val="en-US" w:eastAsia="zh-CN"/>
        </w:rPr>
        <w:t>5</w:t>
      </w:r>
      <w:r>
        <w:rPr>
          <w:rFonts w:hint="eastAsia" w:ascii="华文宋体" w:hAnsi="华文宋体" w:eastAsia="华文宋体" w:cs="华文宋体"/>
          <w:color w:val="auto"/>
          <w:sz w:val="24"/>
          <w:highlight w:val="none"/>
        </w:rPr>
        <w:t>月</w:t>
      </w:r>
      <w:r>
        <w:rPr>
          <w:rFonts w:hint="eastAsia" w:ascii="华文宋体" w:hAnsi="华文宋体" w:eastAsia="华文宋体" w:cs="华文宋体"/>
          <w:color w:val="auto"/>
          <w:sz w:val="24"/>
          <w:highlight w:val="none"/>
          <w:lang w:val="en-US" w:eastAsia="zh-CN"/>
        </w:rPr>
        <w:t>6</w:t>
      </w:r>
      <w:r>
        <w:rPr>
          <w:rFonts w:hint="eastAsia" w:ascii="华文宋体" w:hAnsi="华文宋体" w:eastAsia="华文宋体" w:cs="华文宋体"/>
          <w:color w:val="auto"/>
          <w:sz w:val="24"/>
          <w:highlight w:val="none"/>
        </w:rPr>
        <w:t>日</w:t>
      </w:r>
      <w:r>
        <w:rPr>
          <w:rFonts w:hint="eastAsia" w:ascii="华文宋体" w:hAnsi="华文宋体" w:eastAsia="华文宋体" w:cs="华文宋体"/>
          <w:color w:val="auto"/>
          <w:sz w:val="24"/>
          <w:highlight w:val="none"/>
          <w:lang w:val="en-US" w:eastAsia="zh-CN"/>
        </w:rPr>
        <w:t>上午09</w:t>
      </w:r>
      <w:r>
        <w:rPr>
          <w:rFonts w:hint="eastAsia" w:ascii="华文宋体" w:hAnsi="华文宋体" w:eastAsia="华文宋体" w:cs="华文宋体"/>
          <w:color w:val="auto"/>
          <w:sz w:val="24"/>
          <w:highlight w:val="none"/>
          <w:lang w:val="zh-CN"/>
        </w:rPr>
        <w:t>:</w:t>
      </w:r>
      <w:r>
        <w:rPr>
          <w:rFonts w:hint="eastAsia" w:ascii="华文宋体" w:hAnsi="华文宋体" w:eastAsia="华文宋体" w:cs="华文宋体"/>
          <w:color w:val="auto"/>
          <w:sz w:val="24"/>
          <w:highlight w:val="none"/>
        </w:rPr>
        <w:t>3</w:t>
      </w:r>
      <w:r>
        <w:rPr>
          <w:rFonts w:hint="eastAsia" w:ascii="华文宋体" w:hAnsi="华文宋体" w:eastAsia="华文宋体" w:cs="华文宋体"/>
          <w:color w:val="auto"/>
          <w:sz w:val="24"/>
          <w:highlight w:val="none"/>
          <w:lang w:val="zh-CN"/>
        </w:rPr>
        <w:t>0</w:t>
      </w:r>
    </w:p>
    <w:p>
      <w:pPr>
        <w:numPr>
          <w:ilvl w:val="0"/>
          <w:numId w:val="13"/>
        </w:numPr>
        <w:spacing w:line="430" w:lineRule="exact"/>
        <w:ind w:firstLine="480" w:firstLineChars="200"/>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rPr>
        <w:t>竞争性磋商会议的</w:t>
      </w:r>
      <w:r>
        <w:rPr>
          <w:rFonts w:hint="eastAsia" w:ascii="华文宋体" w:hAnsi="华文宋体" w:eastAsia="华文宋体" w:cs="华文宋体"/>
          <w:color w:val="auto"/>
          <w:sz w:val="24"/>
          <w:highlight w:val="none"/>
          <w:lang w:val="zh-CN"/>
        </w:rPr>
        <w:t>地点：广州市天河区广州大道北613号城光大厦51</w:t>
      </w:r>
      <w:r>
        <w:rPr>
          <w:rFonts w:hint="eastAsia" w:ascii="华文宋体" w:hAnsi="华文宋体" w:eastAsia="华文宋体" w:cs="华文宋体"/>
          <w:color w:val="auto"/>
          <w:sz w:val="24"/>
          <w:highlight w:val="none"/>
        </w:rPr>
        <w:t>5</w:t>
      </w:r>
      <w:r>
        <w:rPr>
          <w:rFonts w:hint="eastAsia" w:ascii="华文宋体" w:hAnsi="华文宋体" w:eastAsia="华文宋体" w:cs="华文宋体"/>
          <w:color w:val="auto"/>
          <w:sz w:val="24"/>
          <w:highlight w:val="none"/>
          <w:lang w:val="zh-CN"/>
        </w:rPr>
        <w:t>室广东公采招标有限公司。</w:t>
      </w:r>
      <w:bookmarkEnd w:id="21"/>
    </w:p>
    <w:p>
      <w:pPr>
        <w:rPr>
          <w:rFonts w:hint="eastAsia" w:ascii="华文宋体" w:hAnsi="华文宋体" w:eastAsia="华文宋体" w:cs="华文宋体"/>
          <w:color w:val="auto"/>
          <w:highlight w:val="none"/>
        </w:rPr>
      </w:pPr>
    </w:p>
    <w:p>
      <w:pPr>
        <w:numPr>
          <w:ilvl w:val="0"/>
          <w:numId w:val="6"/>
        </w:numPr>
        <w:spacing w:line="430" w:lineRule="exact"/>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需要落实的政府采购政策</w:t>
      </w:r>
    </w:p>
    <w:p>
      <w:pPr>
        <w:spacing w:line="430" w:lineRule="exact"/>
        <w:ind w:firstLine="480" w:firstLineChars="200"/>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rPr>
        <w:t>1.</w:t>
      </w:r>
      <w:r>
        <w:rPr>
          <w:rFonts w:hint="eastAsia" w:ascii="华文宋体" w:hAnsi="华文宋体" w:eastAsia="华文宋体" w:cs="华文宋体"/>
          <w:color w:val="auto"/>
          <w:sz w:val="24"/>
          <w:highlight w:val="none"/>
          <w:lang w:val="zh-CN"/>
        </w:rPr>
        <w:t>《政府采购促进中小企业发展管理办法》（财库〔2020〕46号）</w:t>
      </w:r>
    </w:p>
    <w:p>
      <w:pPr>
        <w:spacing w:line="430" w:lineRule="exact"/>
        <w:ind w:firstLine="480" w:firstLineChars="200"/>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rPr>
        <w:t>2.</w:t>
      </w:r>
      <w:r>
        <w:rPr>
          <w:rFonts w:hint="eastAsia" w:ascii="华文宋体" w:hAnsi="华文宋体" w:eastAsia="华文宋体" w:cs="华文宋体"/>
          <w:color w:val="auto"/>
          <w:sz w:val="24"/>
          <w:highlight w:val="none"/>
          <w:lang w:val="zh-CN"/>
        </w:rPr>
        <w:t>《关于政府采购支持监狱企业发展有关问题的通知》(财库〔2014〕68号)</w:t>
      </w:r>
    </w:p>
    <w:p>
      <w:pPr>
        <w:spacing w:line="430" w:lineRule="exact"/>
        <w:ind w:firstLine="480" w:firstLineChars="200"/>
        <w:rPr>
          <w:rFonts w:hint="eastAsia" w:ascii="华文宋体" w:hAnsi="华文宋体" w:eastAsia="华文宋体" w:cs="华文宋体"/>
          <w:color w:val="auto"/>
          <w:highlight w:val="none"/>
          <w:lang w:val="zh-CN"/>
        </w:rPr>
      </w:pPr>
      <w:r>
        <w:rPr>
          <w:rFonts w:hint="eastAsia" w:ascii="华文宋体" w:hAnsi="华文宋体" w:eastAsia="华文宋体" w:cs="华文宋体"/>
          <w:color w:val="auto"/>
          <w:sz w:val="24"/>
          <w:highlight w:val="none"/>
        </w:rPr>
        <w:t>3.</w:t>
      </w:r>
      <w:r>
        <w:rPr>
          <w:rFonts w:hint="eastAsia" w:ascii="华文宋体" w:hAnsi="华文宋体" w:eastAsia="华文宋体" w:cs="华文宋体"/>
          <w:color w:val="auto"/>
          <w:sz w:val="24"/>
          <w:highlight w:val="none"/>
          <w:lang w:val="zh-CN"/>
        </w:rPr>
        <w:t>《关于促进残疾人就业政府采购政策的通知》（财库〔2017〕141号)</w:t>
      </w:r>
    </w:p>
    <w:p>
      <w:pPr>
        <w:rPr>
          <w:rFonts w:hint="eastAsia" w:ascii="华文宋体" w:hAnsi="华文宋体" w:eastAsia="华文宋体" w:cs="华文宋体"/>
          <w:color w:val="auto"/>
          <w:highlight w:val="none"/>
        </w:rPr>
      </w:pPr>
    </w:p>
    <w:p>
      <w:pPr>
        <w:numPr>
          <w:ilvl w:val="0"/>
          <w:numId w:val="6"/>
        </w:numPr>
        <w:spacing w:line="430" w:lineRule="exact"/>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关于联合体竞争性磋商响应</w:t>
      </w:r>
    </w:p>
    <w:p>
      <w:pPr>
        <w:tabs>
          <w:tab w:val="left" w:pos="846"/>
          <w:tab w:val="left" w:pos="962"/>
        </w:tabs>
        <w:spacing w:line="430" w:lineRule="exact"/>
        <w:ind w:firstLine="480" w:firstLineChars="200"/>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bCs/>
          <w:color w:val="auto"/>
          <w:sz w:val="24"/>
          <w:highlight w:val="none"/>
          <w:lang w:val="zh-CN"/>
        </w:rPr>
        <w:t>本项目不</w:t>
      </w:r>
      <w:r>
        <w:rPr>
          <w:rFonts w:hint="eastAsia" w:ascii="华文宋体" w:hAnsi="华文宋体" w:eastAsia="华文宋体" w:cs="华文宋体"/>
          <w:color w:val="auto"/>
          <w:sz w:val="24"/>
          <w:highlight w:val="none"/>
          <w:lang w:val="zh-CN"/>
        </w:rPr>
        <w:t>接受联合体参加。</w:t>
      </w:r>
    </w:p>
    <w:p>
      <w:pPr>
        <w:rPr>
          <w:rFonts w:hint="eastAsia" w:ascii="华文宋体" w:hAnsi="华文宋体" w:eastAsia="华文宋体" w:cs="华文宋体"/>
          <w:color w:val="auto"/>
          <w:highlight w:val="none"/>
        </w:rPr>
      </w:pPr>
    </w:p>
    <w:p>
      <w:pPr>
        <w:numPr>
          <w:ilvl w:val="0"/>
          <w:numId w:val="6"/>
        </w:numPr>
        <w:spacing w:line="430" w:lineRule="exact"/>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关于现场考察及召开答疑会</w:t>
      </w:r>
    </w:p>
    <w:p>
      <w:pPr>
        <w:tabs>
          <w:tab w:val="left" w:pos="900"/>
          <w:tab w:val="left" w:pos="962"/>
          <w:tab w:val="left" w:pos="1080"/>
        </w:tabs>
        <w:autoSpaceDE w:val="0"/>
        <w:autoSpaceDN w:val="0"/>
        <w:spacing w:line="430" w:lineRule="exact"/>
        <w:ind w:firstLine="480" w:firstLineChars="200"/>
        <w:rPr>
          <w:rFonts w:hint="eastAsia" w:ascii="华文宋体" w:hAnsi="华文宋体" w:eastAsia="华文宋体" w:cs="华文宋体"/>
          <w:bCs/>
          <w:color w:val="auto"/>
          <w:sz w:val="24"/>
          <w:highlight w:val="none"/>
          <w:lang w:val="zh-CN"/>
        </w:rPr>
      </w:pPr>
      <w:r>
        <w:rPr>
          <w:rFonts w:hint="eastAsia" w:ascii="华文宋体" w:hAnsi="华文宋体" w:eastAsia="华文宋体" w:cs="华文宋体"/>
          <w:bCs/>
          <w:color w:val="auto"/>
          <w:sz w:val="24"/>
          <w:highlight w:val="none"/>
          <w:lang w:val="zh-CN"/>
        </w:rPr>
        <w:t>本项目</w:t>
      </w:r>
      <w:r>
        <w:rPr>
          <w:rFonts w:hint="eastAsia" w:ascii="华文宋体" w:hAnsi="华文宋体" w:eastAsia="华文宋体" w:cs="华文宋体"/>
          <w:bCs/>
          <w:color w:val="auto"/>
          <w:sz w:val="24"/>
          <w:highlight w:val="none"/>
        </w:rPr>
        <w:t>不</w:t>
      </w:r>
      <w:r>
        <w:rPr>
          <w:rFonts w:hint="eastAsia" w:ascii="华文宋体" w:hAnsi="华文宋体" w:eastAsia="华文宋体" w:cs="华文宋体"/>
          <w:bCs/>
          <w:color w:val="auto"/>
          <w:sz w:val="24"/>
          <w:highlight w:val="none"/>
          <w:lang w:val="zh-CN"/>
        </w:rPr>
        <w:t>组织</w:t>
      </w:r>
      <w:r>
        <w:rPr>
          <w:rFonts w:hint="eastAsia" w:ascii="华文宋体" w:hAnsi="华文宋体" w:eastAsia="华文宋体" w:cs="华文宋体"/>
          <w:bCs/>
          <w:color w:val="auto"/>
          <w:sz w:val="24"/>
          <w:highlight w:val="none"/>
        </w:rPr>
        <w:t>集中</w:t>
      </w:r>
      <w:r>
        <w:rPr>
          <w:rFonts w:hint="eastAsia" w:ascii="华文宋体" w:hAnsi="华文宋体" w:eastAsia="华文宋体" w:cs="华文宋体"/>
          <w:bCs/>
          <w:color w:val="auto"/>
          <w:sz w:val="24"/>
          <w:highlight w:val="none"/>
          <w:lang w:val="zh-CN"/>
        </w:rPr>
        <w:t>现场考察</w:t>
      </w:r>
      <w:r>
        <w:rPr>
          <w:rFonts w:hint="eastAsia" w:ascii="华文宋体" w:hAnsi="华文宋体" w:eastAsia="华文宋体" w:cs="华文宋体"/>
          <w:bCs/>
          <w:color w:val="auto"/>
          <w:sz w:val="24"/>
          <w:highlight w:val="none"/>
        </w:rPr>
        <w:t>；</w:t>
      </w:r>
      <w:r>
        <w:rPr>
          <w:rFonts w:hint="eastAsia" w:ascii="华文宋体" w:hAnsi="华文宋体" w:eastAsia="华文宋体" w:cs="华文宋体"/>
          <w:bCs/>
          <w:color w:val="auto"/>
          <w:sz w:val="24"/>
          <w:highlight w:val="none"/>
          <w:lang w:val="zh-CN"/>
        </w:rPr>
        <w:t>不召开答疑会。</w:t>
      </w:r>
    </w:p>
    <w:p>
      <w:pPr>
        <w:rPr>
          <w:rFonts w:hint="eastAsia" w:ascii="华文宋体" w:hAnsi="华文宋体" w:eastAsia="华文宋体" w:cs="华文宋体"/>
          <w:color w:val="auto"/>
          <w:highlight w:val="none"/>
        </w:rPr>
      </w:pPr>
    </w:p>
    <w:p>
      <w:pPr>
        <w:numPr>
          <w:ilvl w:val="0"/>
          <w:numId w:val="6"/>
        </w:numPr>
        <w:spacing w:line="430" w:lineRule="exact"/>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获取竞争性磋商文件或缴交采购代理服务费的银行账户：</w:t>
      </w:r>
    </w:p>
    <w:p>
      <w:pPr>
        <w:numPr>
          <w:ilvl w:val="3"/>
          <w:numId w:val="14"/>
        </w:numPr>
        <w:tabs>
          <w:tab w:val="clear" w:pos="846"/>
        </w:tabs>
        <w:wordWrap w:val="0"/>
        <w:topLinePunct/>
        <w:spacing w:line="430" w:lineRule="exact"/>
        <w:ind w:left="936" w:leftChars="300" w:hanging="396" w:hangingChars="165"/>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rPr>
        <w:t>获取竞争性磋商文件或缴交采购代理服务费</w:t>
      </w:r>
      <w:r>
        <w:rPr>
          <w:rFonts w:hint="eastAsia" w:ascii="华文宋体" w:hAnsi="华文宋体" w:eastAsia="华文宋体" w:cs="华文宋体"/>
          <w:color w:val="auto"/>
          <w:sz w:val="24"/>
          <w:highlight w:val="none"/>
          <w:lang w:val="zh-CN"/>
        </w:rPr>
        <w:t>的账户：3602060919200124089</w:t>
      </w:r>
    </w:p>
    <w:p>
      <w:pPr>
        <w:numPr>
          <w:ilvl w:val="3"/>
          <w:numId w:val="14"/>
        </w:numPr>
        <w:tabs>
          <w:tab w:val="clear" w:pos="846"/>
        </w:tabs>
        <w:wordWrap w:val="0"/>
        <w:topLinePunct/>
        <w:spacing w:line="430" w:lineRule="exact"/>
        <w:ind w:left="936" w:leftChars="300" w:hanging="396" w:hangingChars="165"/>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lang w:val="zh-CN"/>
        </w:rPr>
        <w:t>开户银行：中国工商银行广州烟草大厦支行</w:t>
      </w:r>
    </w:p>
    <w:p>
      <w:pPr>
        <w:numPr>
          <w:ilvl w:val="3"/>
          <w:numId w:val="14"/>
        </w:numPr>
        <w:tabs>
          <w:tab w:val="clear" w:pos="846"/>
        </w:tabs>
        <w:wordWrap w:val="0"/>
        <w:topLinePunct/>
        <w:spacing w:line="430" w:lineRule="exact"/>
        <w:ind w:left="936" w:leftChars="300" w:hanging="396" w:hangingChars="165"/>
        <w:rPr>
          <w:rFonts w:hint="eastAsia" w:ascii="华文宋体" w:hAnsi="华文宋体" w:eastAsia="华文宋体" w:cs="华文宋体"/>
          <w:color w:val="auto"/>
          <w:sz w:val="24"/>
          <w:highlight w:val="none"/>
          <w:lang w:val="zh-CN"/>
        </w:rPr>
      </w:pPr>
      <w:r>
        <w:rPr>
          <w:rFonts w:hint="eastAsia" w:ascii="华文宋体" w:hAnsi="华文宋体" w:eastAsia="华文宋体" w:cs="华文宋体"/>
          <w:color w:val="auto"/>
          <w:sz w:val="24"/>
          <w:highlight w:val="none"/>
          <w:lang w:val="zh-CN"/>
        </w:rPr>
        <w:t>收款人：广东公采招标有限公司</w:t>
      </w:r>
    </w:p>
    <w:p>
      <w:pPr>
        <w:rPr>
          <w:rFonts w:hint="eastAsia" w:ascii="华文宋体" w:hAnsi="华文宋体" w:eastAsia="华文宋体" w:cs="华文宋体"/>
          <w:color w:val="auto"/>
          <w:highlight w:val="none"/>
        </w:rPr>
      </w:pPr>
    </w:p>
    <w:p>
      <w:pPr>
        <w:numPr>
          <w:ilvl w:val="0"/>
          <w:numId w:val="6"/>
        </w:numPr>
        <w:spacing w:line="430" w:lineRule="exact"/>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相关公告媒体</w:t>
      </w:r>
    </w:p>
    <w:p>
      <w:pPr>
        <w:spacing w:line="430" w:lineRule="exact"/>
        <w:ind w:firstLine="480" w:firstLineChars="20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本项目相关公告在中国政府采购网(www.ccgp.gov.cn)、广东公采招标有限公司网站（www.gdgongcai.com）等法定媒体上公布之日即视为有效送达，不再另行通知。</w:t>
      </w:r>
    </w:p>
    <w:p>
      <w:pPr>
        <w:rPr>
          <w:rFonts w:hint="eastAsia" w:ascii="华文宋体" w:hAnsi="华文宋体" w:eastAsia="华文宋体" w:cs="华文宋体"/>
          <w:color w:val="auto"/>
          <w:highlight w:val="none"/>
        </w:rPr>
      </w:pPr>
    </w:p>
    <w:p>
      <w:pPr>
        <w:numPr>
          <w:ilvl w:val="0"/>
          <w:numId w:val="6"/>
        </w:numPr>
        <w:spacing w:line="430" w:lineRule="exact"/>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公告期限</w:t>
      </w:r>
    </w:p>
    <w:p>
      <w:pPr>
        <w:spacing w:line="430" w:lineRule="exact"/>
        <w:ind w:firstLine="480" w:firstLineChars="20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公告期限为</w:t>
      </w:r>
      <w:r>
        <w:rPr>
          <w:rFonts w:hint="eastAsia" w:ascii="华文宋体" w:hAnsi="华文宋体" w:eastAsia="华文宋体" w:cs="华文宋体"/>
          <w:color w:val="auto"/>
          <w:sz w:val="24"/>
          <w:szCs w:val="24"/>
          <w:highlight w:val="none"/>
          <w:lang w:val="en-US" w:eastAsia="zh-CN"/>
        </w:rPr>
        <w:t>3</w:t>
      </w:r>
      <w:r>
        <w:rPr>
          <w:rFonts w:hint="eastAsia" w:ascii="华文宋体" w:hAnsi="华文宋体" w:eastAsia="华文宋体" w:cs="华文宋体"/>
          <w:color w:val="auto"/>
          <w:sz w:val="24"/>
          <w:szCs w:val="24"/>
          <w:highlight w:val="none"/>
        </w:rPr>
        <w:t>个工作日，自</w:t>
      </w:r>
      <w:bookmarkStart w:id="22" w:name="EB60a1bf14fbfe40ab9611b5db394b29bd"/>
      <w:r>
        <w:rPr>
          <w:rFonts w:hint="eastAsia" w:ascii="华文宋体" w:hAnsi="华文宋体" w:eastAsia="华文宋体" w:cs="华文宋体"/>
          <w:color w:val="auto"/>
          <w:sz w:val="24"/>
          <w:szCs w:val="24"/>
          <w:highlight w:val="none"/>
        </w:rPr>
        <w:t>2023</w:t>
      </w:r>
      <w:r>
        <w:rPr>
          <w:rFonts w:hint="eastAsia" w:ascii="华文宋体" w:hAnsi="华文宋体" w:eastAsia="华文宋体" w:cs="华文宋体"/>
          <w:color w:val="auto"/>
          <w:sz w:val="24"/>
          <w:highlight w:val="none"/>
          <w:lang w:val="zh-CN"/>
        </w:rPr>
        <w:t>年</w:t>
      </w:r>
      <w:r>
        <w:rPr>
          <w:rFonts w:hint="eastAsia" w:ascii="华文宋体" w:hAnsi="华文宋体" w:eastAsia="华文宋体" w:cs="华文宋体"/>
          <w:color w:val="auto"/>
          <w:sz w:val="24"/>
          <w:highlight w:val="none"/>
          <w:lang w:val="en-US" w:eastAsia="zh-CN"/>
        </w:rPr>
        <w:t>4</w:t>
      </w:r>
      <w:r>
        <w:rPr>
          <w:rFonts w:hint="eastAsia" w:ascii="华文宋体" w:hAnsi="华文宋体" w:eastAsia="华文宋体" w:cs="华文宋体"/>
          <w:color w:val="auto"/>
          <w:sz w:val="24"/>
          <w:highlight w:val="none"/>
          <w:lang w:val="zh-CN"/>
        </w:rPr>
        <w:t>月</w:t>
      </w:r>
      <w:r>
        <w:rPr>
          <w:rFonts w:hint="eastAsia" w:ascii="华文宋体" w:hAnsi="华文宋体" w:eastAsia="华文宋体" w:cs="华文宋体"/>
          <w:color w:val="auto"/>
          <w:sz w:val="24"/>
          <w:highlight w:val="none"/>
          <w:lang w:val="en-US" w:eastAsia="zh-CN"/>
        </w:rPr>
        <w:t>26</w:t>
      </w:r>
      <w:r>
        <w:rPr>
          <w:rFonts w:hint="eastAsia" w:ascii="华文宋体" w:hAnsi="华文宋体" w:eastAsia="华文宋体" w:cs="华文宋体"/>
          <w:color w:val="auto"/>
          <w:sz w:val="24"/>
          <w:highlight w:val="none"/>
          <w:lang w:val="zh-CN"/>
        </w:rPr>
        <w:t>日</w:t>
      </w:r>
      <w:r>
        <w:rPr>
          <w:rFonts w:hint="eastAsia" w:ascii="华文宋体" w:hAnsi="华文宋体" w:eastAsia="华文宋体" w:cs="华文宋体"/>
          <w:color w:val="auto"/>
          <w:sz w:val="24"/>
          <w:szCs w:val="24"/>
          <w:highlight w:val="none"/>
        </w:rPr>
        <w:t>至</w:t>
      </w:r>
      <w:bookmarkEnd w:id="22"/>
      <w:r>
        <w:rPr>
          <w:rFonts w:hint="eastAsia" w:ascii="华文宋体" w:hAnsi="华文宋体" w:eastAsia="华文宋体" w:cs="华文宋体"/>
          <w:color w:val="auto"/>
          <w:sz w:val="24"/>
          <w:szCs w:val="24"/>
          <w:highlight w:val="none"/>
        </w:rPr>
        <w:t>2023</w:t>
      </w:r>
      <w:r>
        <w:rPr>
          <w:rFonts w:hint="eastAsia" w:ascii="华文宋体" w:hAnsi="华文宋体" w:eastAsia="华文宋体" w:cs="华文宋体"/>
          <w:color w:val="auto"/>
          <w:sz w:val="24"/>
          <w:highlight w:val="none"/>
          <w:lang w:val="zh-CN"/>
        </w:rPr>
        <w:t>年</w:t>
      </w:r>
      <w:r>
        <w:rPr>
          <w:rFonts w:hint="eastAsia" w:ascii="华文宋体" w:hAnsi="华文宋体" w:eastAsia="华文宋体" w:cs="华文宋体"/>
          <w:color w:val="auto"/>
          <w:sz w:val="24"/>
          <w:highlight w:val="none"/>
          <w:lang w:val="en-US" w:eastAsia="zh-CN"/>
        </w:rPr>
        <w:t>4</w:t>
      </w:r>
      <w:r>
        <w:rPr>
          <w:rFonts w:hint="eastAsia" w:ascii="华文宋体" w:hAnsi="华文宋体" w:eastAsia="华文宋体" w:cs="华文宋体"/>
          <w:color w:val="auto"/>
          <w:sz w:val="24"/>
          <w:highlight w:val="none"/>
          <w:lang w:val="zh-CN"/>
        </w:rPr>
        <w:t>月</w:t>
      </w:r>
      <w:r>
        <w:rPr>
          <w:rFonts w:hint="eastAsia" w:ascii="华文宋体" w:hAnsi="华文宋体" w:eastAsia="华文宋体" w:cs="华文宋体"/>
          <w:color w:val="auto"/>
          <w:sz w:val="24"/>
          <w:highlight w:val="none"/>
          <w:lang w:val="en-US" w:eastAsia="zh-CN"/>
        </w:rPr>
        <w:t>28</w:t>
      </w:r>
      <w:r>
        <w:rPr>
          <w:rFonts w:hint="eastAsia" w:ascii="华文宋体" w:hAnsi="华文宋体" w:eastAsia="华文宋体" w:cs="华文宋体"/>
          <w:color w:val="auto"/>
          <w:sz w:val="24"/>
          <w:highlight w:val="none"/>
          <w:lang w:val="zh-CN"/>
        </w:rPr>
        <w:t>日</w:t>
      </w:r>
      <w:r>
        <w:rPr>
          <w:rFonts w:hint="eastAsia" w:ascii="华文宋体" w:hAnsi="华文宋体" w:eastAsia="华文宋体" w:cs="华文宋体"/>
          <w:color w:val="auto"/>
          <w:sz w:val="24"/>
          <w:szCs w:val="24"/>
          <w:highlight w:val="none"/>
        </w:rPr>
        <w:t>止。</w:t>
      </w:r>
    </w:p>
    <w:p>
      <w:pPr>
        <w:spacing w:line="430" w:lineRule="exact"/>
        <w:rPr>
          <w:rFonts w:hint="eastAsia" w:ascii="华文宋体" w:hAnsi="华文宋体" w:eastAsia="华文宋体" w:cs="华文宋体"/>
          <w:color w:val="auto"/>
          <w:highlight w:val="none"/>
          <w:lang w:eastAsia="zh-CN"/>
        </w:rPr>
      </w:pPr>
    </w:p>
    <w:p>
      <w:pPr>
        <w:pStyle w:val="2"/>
        <w:rPr>
          <w:rFonts w:hint="eastAsia" w:ascii="华文宋体" w:hAnsi="华文宋体" w:eastAsia="华文宋体" w:cs="华文宋体"/>
          <w:color w:val="auto"/>
          <w:highlight w:val="none"/>
          <w:lang w:eastAsia="zh-CN"/>
        </w:rPr>
      </w:pPr>
    </w:p>
    <w:p>
      <w:pPr>
        <w:spacing w:line="430" w:lineRule="exact"/>
        <w:ind w:left="700" w:right="454"/>
        <w:jc w:val="right"/>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发布人：广东公采招标有限公司</w:t>
      </w:r>
    </w:p>
    <w:p>
      <w:pPr>
        <w:wordWrap w:val="0"/>
        <w:spacing w:line="430" w:lineRule="exact"/>
        <w:ind w:left="700" w:right="312"/>
        <w:jc w:val="right"/>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发布时间：2023</w:t>
      </w:r>
      <w:r>
        <w:rPr>
          <w:rFonts w:hint="eastAsia" w:ascii="华文宋体" w:hAnsi="华文宋体" w:eastAsia="华文宋体" w:cs="华文宋体"/>
          <w:bCs/>
          <w:color w:val="auto"/>
          <w:sz w:val="24"/>
          <w:szCs w:val="24"/>
          <w:highlight w:val="none"/>
          <w:lang w:val="zh-CN"/>
        </w:rPr>
        <w:t>年</w:t>
      </w:r>
      <w:r>
        <w:rPr>
          <w:rFonts w:hint="eastAsia" w:ascii="华文宋体" w:hAnsi="华文宋体" w:eastAsia="华文宋体" w:cs="华文宋体"/>
          <w:bCs/>
          <w:color w:val="auto"/>
          <w:sz w:val="24"/>
          <w:szCs w:val="24"/>
          <w:highlight w:val="none"/>
          <w:lang w:val="en-US" w:eastAsia="zh-CN"/>
        </w:rPr>
        <w:t>4</w:t>
      </w:r>
      <w:r>
        <w:rPr>
          <w:rFonts w:hint="eastAsia" w:ascii="华文宋体" w:hAnsi="华文宋体" w:eastAsia="华文宋体" w:cs="华文宋体"/>
          <w:bCs/>
          <w:color w:val="auto"/>
          <w:sz w:val="24"/>
          <w:szCs w:val="24"/>
          <w:highlight w:val="none"/>
          <w:lang w:val="zh-CN"/>
        </w:rPr>
        <w:t>月</w:t>
      </w:r>
      <w:r>
        <w:rPr>
          <w:rFonts w:hint="eastAsia" w:ascii="华文宋体" w:hAnsi="华文宋体" w:eastAsia="华文宋体" w:cs="华文宋体"/>
          <w:bCs/>
          <w:color w:val="auto"/>
          <w:sz w:val="24"/>
          <w:szCs w:val="24"/>
          <w:highlight w:val="none"/>
          <w:lang w:val="en-US" w:eastAsia="zh-CN"/>
        </w:rPr>
        <w:t>25</w:t>
      </w:r>
      <w:r>
        <w:rPr>
          <w:rFonts w:hint="eastAsia" w:ascii="华文宋体" w:hAnsi="华文宋体" w:eastAsia="华文宋体" w:cs="华文宋体"/>
          <w:bCs/>
          <w:color w:val="auto"/>
          <w:sz w:val="24"/>
          <w:szCs w:val="24"/>
          <w:highlight w:val="none"/>
          <w:lang w:val="zh-CN"/>
        </w:rPr>
        <w:t>日</w:t>
      </w:r>
      <w:r>
        <w:rPr>
          <w:rFonts w:hint="eastAsia" w:ascii="华文宋体" w:hAnsi="华文宋体" w:eastAsia="华文宋体" w:cs="华文宋体"/>
          <w:bCs/>
          <w:color w:val="auto"/>
          <w:sz w:val="24"/>
          <w:szCs w:val="24"/>
          <w:highlight w:val="none"/>
        </w:rPr>
        <w:t xml:space="preserve"> </w:t>
      </w:r>
    </w:p>
    <w:p>
      <w:pPr>
        <w:rPr>
          <w:rFonts w:hint="eastAsia" w:ascii="华文宋体" w:hAnsi="华文宋体" w:eastAsia="华文宋体" w:cs="华文宋体"/>
          <w:color w:val="auto"/>
          <w:highlight w:val="none"/>
        </w:rPr>
      </w:pPr>
      <w:r>
        <w:rPr>
          <w:rFonts w:hint="eastAsia" w:ascii="华文宋体" w:hAnsi="华文宋体" w:eastAsia="华文宋体" w:cs="华文宋体"/>
          <w:color w:val="auto"/>
          <w:sz w:val="24"/>
          <w:szCs w:val="24"/>
          <w:highlight w:val="none"/>
        </w:rPr>
        <w:br w:type="page"/>
      </w:r>
      <w:bookmarkStart w:id="23" w:name="_Toc25597"/>
      <w:bookmarkStart w:id="24" w:name="_Toc30962"/>
      <w:bookmarkStart w:id="25" w:name="_Toc525322211"/>
      <w:bookmarkStart w:id="26" w:name="_Toc1445"/>
      <w:bookmarkStart w:id="27" w:name="_Toc26116_WPSOffice_Level2"/>
      <w:bookmarkStart w:id="28" w:name="_Toc21682"/>
      <w:bookmarkStart w:id="29" w:name="_Toc23323"/>
      <w:bookmarkStart w:id="30" w:name="_Toc8369"/>
      <w:bookmarkStart w:id="31" w:name="_Toc37331038"/>
      <w:bookmarkStart w:id="32" w:name="_Toc98035088"/>
      <w:bookmarkStart w:id="33" w:name="_Toc101775124"/>
      <w:bookmarkStart w:id="34" w:name="_Toc403491565"/>
      <w:bookmarkStart w:id="35" w:name="_Toc101771371"/>
      <w:bookmarkStart w:id="36" w:name="_Toc37663391"/>
      <w:bookmarkStart w:id="37" w:name="_Toc50276156"/>
      <w:bookmarkStart w:id="38" w:name="_Toc37245276"/>
      <w:bookmarkStart w:id="39" w:name="_Toc175644388"/>
      <w:bookmarkStart w:id="40" w:name="_Toc37569519"/>
      <w:bookmarkStart w:id="41" w:name="_Toc37581420"/>
      <w:bookmarkStart w:id="42" w:name="_Toc50276195"/>
      <w:bookmarkStart w:id="43" w:name="_Toc40762370"/>
      <w:bookmarkStart w:id="44" w:name="_Toc46308683"/>
      <w:bookmarkStart w:id="45" w:name="_Toc37331080"/>
      <w:bookmarkStart w:id="46" w:name="_Toc98579010"/>
      <w:bookmarkStart w:id="47" w:name="_Toc46308527"/>
      <w:bookmarkStart w:id="48" w:name="_Toc98579609"/>
      <w:bookmarkStart w:id="49" w:name="_Toc401575143"/>
      <w:bookmarkStart w:id="50" w:name="_Toc101843124"/>
      <w:bookmarkStart w:id="51" w:name="_Toc101951257"/>
      <w:bookmarkStart w:id="52" w:name="_Toc98579068"/>
      <w:bookmarkStart w:id="53" w:name="_Toc98580292"/>
    </w:p>
    <w:p>
      <w:pPr>
        <w:pStyle w:val="4"/>
        <w:numPr>
          <w:ilvl w:val="0"/>
          <w:numId w:val="15"/>
        </w:numPr>
        <w:spacing w:before="0" w:line="240" w:lineRule="auto"/>
        <w:jc w:val="center"/>
        <w:rPr>
          <w:rFonts w:hint="eastAsia" w:ascii="华文宋体" w:hAnsi="华文宋体" w:eastAsia="华文宋体" w:cs="华文宋体"/>
          <w:color w:val="auto"/>
          <w:sz w:val="40"/>
          <w:szCs w:val="40"/>
          <w:highlight w:val="none"/>
        </w:rPr>
      </w:pPr>
      <w:r>
        <w:rPr>
          <w:rFonts w:hint="eastAsia" w:ascii="华文宋体" w:hAnsi="华文宋体" w:eastAsia="华文宋体" w:cs="华文宋体"/>
          <w:color w:val="auto"/>
          <w:sz w:val="40"/>
          <w:szCs w:val="40"/>
          <w:highlight w:val="none"/>
        </w:rPr>
        <w:t>项目采购需求</w:t>
      </w:r>
    </w:p>
    <w:bookmarkEnd w:id="23"/>
    <w:bookmarkEnd w:id="24"/>
    <w:bookmarkEnd w:id="25"/>
    <w:bookmarkEnd w:id="26"/>
    <w:bookmarkEnd w:id="27"/>
    <w:bookmarkEnd w:id="28"/>
    <w:bookmarkEnd w:id="29"/>
    <w:bookmarkEnd w:id="30"/>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华文宋体" w:hAnsi="华文宋体" w:eastAsia="华文宋体" w:cs="华文宋体"/>
          <w:b/>
          <w:bCs/>
          <w:color w:val="auto"/>
          <w:sz w:val="24"/>
          <w:szCs w:val="24"/>
          <w:highlight w:val="none"/>
        </w:rPr>
      </w:pPr>
      <w:bookmarkStart w:id="54" w:name="_Toc37245277"/>
      <w:r>
        <w:rPr>
          <w:rFonts w:hint="eastAsia" w:ascii="华文宋体" w:hAnsi="华文宋体" w:eastAsia="华文宋体" w:cs="华文宋体"/>
          <w:b/>
          <w:bCs/>
          <w:color w:val="auto"/>
          <w:sz w:val="24"/>
          <w:szCs w:val="24"/>
          <w:highlight w:val="none"/>
        </w:rPr>
        <w:t>说明：</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1.供应商须对本项目为单位的采购标的或服务内容进行整体响应，任何只对其中一部分采购标的或服务内容进行的响应都被视为无效响应。</w:t>
      </w:r>
    </w:p>
    <w:p>
      <w:pPr>
        <w:keepNext w:val="0"/>
        <w:keepLines w:val="0"/>
        <w:pageBreakBefore w:val="0"/>
        <w:widowControl w:val="0"/>
        <w:tabs>
          <w:tab w:val="left" w:pos="142"/>
        </w:tabs>
        <w:kinsoku/>
        <w:wordWrap/>
        <w:overflowPunct/>
        <w:topLinePunct w:val="0"/>
        <w:autoSpaceDE/>
        <w:autoSpaceDN/>
        <w:bidi w:val="0"/>
        <w:adjustRightInd/>
        <w:snapToGrid w:val="0"/>
        <w:spacing w:line="400" w:lineRule="exact"/>
        <w:ind w:firstLine="480" w:firstLineChars="200"/>
        <w:jc w:val="left"/>
        <w:textAlignment w:val="auto"/>
        <w:rPr>
          <w:rFonts w:hint="eastAsia" w:ascii="华文宋体" w:hAnsi="华文宋体" w:eastAsia="华文宋体" w:cs="华文宋体"/>
          <w:color w:val="auto"/>
          <w:sz w:val="24"/>
          <w:szCs w:val="24"/>
          <w:highlight w:val="none"/>
          <w:lang w:eastAsia="zh-CN"/>
        </w:rPr>
      </w:pPr>
      <w:r>
        <w:rPr>
          <w:rFonts w:hint="eastAsia" w:ascii="华文宋体" w:hAnsi="华文宋体" w:eastAsia="华文宋体" w:cs="华文宋体"/>
          <w:color w:val="auto"/>
          <w:sz w:val="24"/>
          <w:szCs w:val="24"/>
          <w:highlight w:val="none"/>
        </w:rPr>
        <w:t>2.采购需求中以“★”标明的条款为实质性条款，任何一条负偏离则导致响应无效。打“▲”号条款为重要技术参数，若有部分“▲”条款未响应或不满足，将导致其响应性评审加重扣分，但不作为无效投标条款。</w:t>
      </w:r>
    </w:p>
    <w:p>
      <w:pPr>
        <w:bidi w:val="0"/>
        <w:rPr>
          <w:rFonts w:hint="eastAsia"/>
          <w:lang w:eastAsia="zh-CN"/>
        </w:rPr>
      </w:pPr>
    </w:p>
    <w:p>
      <w:pPr>
        <w:numPr>
          <w:ilvl w:val="0"/>
          <w:numId w:val="16"/>
        </w:numPr>
        <w:snapToGrid w:val="0"/>
        <w:spacing w:line="470" w:lineRule="exact"/>
        <w:ind w:left="482"/>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t>采购概况</w:t>
      </w:r>
    </w:p>
    <w:p>
      <w:pPr>
        <w:numPr>
          <w:ilvl w:val="0"/>
          <w:numId w:val="17"/>
        </w:numPr>
        <w:spacing w:line="44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采购内容：消防车辆维修和保养服务</w:t>
      </w:r>
    </w:p>
    <w:p>
      <w:pPr>
        <w:numPr>
          <w:ilvl w:val="0"/>
          <w:numId w:val="17"/>
        </w:numPr>
        <w:spacing w:line="44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预算金额：￥160万元（最高限价）</w:t>
      </w:r>
    </w:p>
    <w:p>
      <w:pPr>
        <w:numPr>
          <w:ilvl w:val="0"/>
          <w:numId w:val="17"/>
        </w:numPr>
        <w:spacing w:line="44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服务周期：合同签订之日起一年内</w:t>
      </w:r>
    </w:p>
    <w:p>
      <w:pPr>
        <w:numPr>
          <w:ilvl w:val="0"/>
          <w:numId w:val="17"/>
        </w:numPr>
        <w:spacing w:line="44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服务地点：采购人指定地点</w:t>
      </w:r>
    </w:p>
    <w:p>
      <w:pPr>
        <w:numPr>
          <w:ilvl w:val="0"/>
          <w:numId w:val="17"/>
        </w:numPr>
        <w:spacing w:line="44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采购标的对应的中小企业划分标准所属行业：其他未列明行业</w:t>
      </w:r>
    </w:p>
    <w:p>
      <w:pPr>
        <w:bidi w:val="0"/>
        <w:rPr>
          <w:rFonts w:hint="eastAsia"/>
          <w:lang w:eastAsia="zh-CN"/>
        </w:rPr>
      </w:pPr>
    </w:p>
    <w:p>
      <w:pPr>
        <w:spacing w:line="440" w:lineRule="exact"/>
        <w:ind w:left="479" w:leftChars="266"/>
        <w:rPr>
          <w:rFonts w:hint="eastAsia" w:ascii="华文宋体" w:hAnsi="华文宋体" w:eastAsia="华文宋体" w:cs="华文宋体"/>
          <w:b/>
          <w:bCs/>
          <w:color w:val="auto"/>
          <w:sz w:val="24"/>
          <w:highlight w:val="none"/>
        </w:rPr>
      </w:pPr>
      <w:r>
        <w:rPr>
          <w:rFonts w:hint="eastAsia" w:ascii="华文宋体" w:hAnsi="华文宋体" w:eastAsia="华文宋体" w:cs="华文宋体"/>
          <w:b/>
          <w:bCs/>
          <w:color w:val="auto"/>
          <w:sz w:val="24"/>
          <w:highlight w:val="none"/>
        </w:rPr>
        <w:t>二、项目概述</w:t>
      </w:r>
    </w:p>
    <w:p>
      <w:pPr>
        <w:spacing w:line="560" w:lineRule="exact"/>
        <w:ind w:firstLine="480" w:firstLineChars="200"/>
        <w:jc w:val="left"/>
        <w:rPr>
          <w:rFonts w:hint="eastAsia" w:ascii="华文宋体" w:hAnsi="华文宋体" w:eastAsia="华文宋体" w:cs="华文宋体"/>
          <w:b w:val="0"/>
          <w:bCs w:val="0"/>
          <w:color w:val="auto"/>
          <w:sz w:val="24"/>
          <w:szCs w:val="24"/>
          <w:highlight w:val="none"/>
        </w:rPr>
      </w:pPr>
      <w:r>
        <w:rPr>
          <w:rFonts w:hint="eastAsia" w:ascii="华文宋体" w:hAnsi="华文宋体" w:eastAsia="华文宋体" w:cs="华文宋体"/>
          <w:b w:val="0"/>
          <w:bCs w:val="0"/>
          <w:color w:val="auto"/>
          <w:sz w:val="24"/>
          <w:szCs w:val="24"/>
          <w:highlight w:val="none"/>
        </w:rPr>
        <w:t>（一）项目一览表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1110"/>
        <w:gridCol w:w="3180"/>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019" w:type="dxa"/>
            <w:shd w:val="clear" w:color="auto" w:fill="auto"/>
            <w:noWrap w:val="0"/>
            <w:vAlign w:val="center"/>
          </w:tcPr>
          <w:p>
            <w:pPr>
              <w:spacing w:line="360" w:lineRule="auto"/>
              <w:jc w:val="center"/>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采购内容</w:t>
            </w:r>
          </w:p>
        </w:tc>
        <w:tc>
          <w:tcPr>
            <w:tcW w:w="1110" w:type="dxa"/>
            <w:shd w:val="clear" w:color="auto" w:fill="auto"/>
            <w:noWrap w:val="0"/>
            <w:vAlign w:val="center"/>
          </w:tcPr>
          <w:p>
            <w:pPr>
              <w:spacing w:line="360" w:lineRule="auto"/>
              <w:jc w:val="center"/>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数量</w:t>
            </w:r>
          </w:p>
        </w:tc>
        <w:tc>
          <w:tcPr>
            <w:tcW w:w="3180" w:type="dxa"/>
            <w:shd w:val="clear" w:color="auto" w:fill="auto"/>
            <w:noWrap w:val="0"/>
            <w:vAlign w:val="center"/>
          </w:tcPr>
          <w:p>
            <w:pPr>
              <w:spacing w:line="360" w:lineRule="auto"/>
              <w:jc w:val="center"/>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服务期</w:t>
            </w:r>
          </w:p>
        </w:tc>
        <w:tc>
          <w:tcPr>
            <w:tcW w:w="2565" w:type="dxa"/>
            <w:shd w:val="clear" w:color="auto" w:fill="auto"/>
            <w:noWrap w:val="0"/>
            <w:vAlign w:val="center"/>
          </w:tcPr>
          <w:p>
            <w:pPr>
              <w:spacing w:line="360" w:lineRule="auto"/>
              <w:jc w:val="center"/>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招标预算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019" w:type="dxa"/>
            <w:noWrap w:val="0"/>
            <w:vAlign w:val="center"/>
          </w:tcPr>
          <w:p>
            <w:pPr>
              <w:keepLines w:val="0"/>
              <w:pageBreakBefore w:val="0"/>
              <w:widowControl w:val="0"/>
              <w:kinsoku/>
              <w:wordWrap/>
              <w:overflowPunct/>
              <w:topLinePunct w:val="0"/>
              <w:autoSpaceDE/>
              <w:autoSpaceDN/>
              <w:bidi w:val="0"/>
              <w:adjustRightInd/>
              <w:snapToGrid/>
              <w:spacing w:line="400" w:lineRule="exact"/>
              <w:jc w:val="center"/>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消防车辆维修和保养服务</w:t>
            </w:r>
          </w:p>
        </w:tc>
        <w:tc>
          <w:tcPr>
            <w:tcW w:w="1110" w:type="dxa"/>
            <w:noWrap w:val="0"/>
            <w:vAlign w:val="center"/>
          </w:tcPr>
          <w:p>
            <w:pPr>
              <w:keepLines w:val="0"/>
              <w:pageBreakBefore w:val="0"/>
              <w:widowControl w:val="0"/>
              <w:kinsoku/>
              <w:wordWrap/>
              <w:overflowPunct/>
              <w:topLinePunct w:val="0"/>
              <w:autoSpaceDE/>
              <w:autoSpaceDN/>
              <w:bidi w:val="0"/>
              <w:adjustRightInd/>
              <w:snapToGrid/>
              <w:spacing w:line="400" w:lineRule="exact"/>
              <w:jc w:val="center"/>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1项</w:t>
            </w:r>
          </w:p>
        </w:tc>
        <w:tc>
          <w:tcPr>
            <w:tcW w:w="3180" w:type="dxa"/>
            <w:noWrap w:val="0"/>
            <w:vAlign w:val="center"/>
          </w:tcPr>
          <w:p>
            <w:pPr>
              <w:keepNext/>
              <w:keepLines w:val="0"/>
              <w:pageBreakBefore w:val="0"/>
              <w:widowControl w:val="0"/>
              <w:kinsoku/>
              <w:wordWrap/>
              <w:overflowPunct/>
              <w:topLinePunct w:val="0"/>
              <w:autoSpaceDE/>
              <w:autoSpaceDN/>
              <w:bidi w:val="0"/>
              <w:adjustRightInd/>
              <w:snapToGrid/>
              <w:spacing w:before="60" w:after="60" w:line="400" w:lineRule="exact"/>
              <w:ind w:hanging="67"/>
              <w:jc w:val="center"/>
              <w:textAlignment w:val="center"/>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合同签订之日起一年内</w:t>
            </w:r>
          </w:p>
        </w:tc>
        <w:tc>
          <w:tcPr>
            <w:tcW w:w="2565" w:type="dxa"/>
            <w:noWrap w:val="0"/>
            <w:vAlign w:val="center"/>
          </w:tcPr>
          <w:p>
            <w:pPr>
              <w:keepNext/>
              <w:keepLines w:val="0"/>
              <w:pageBreakBefore w:val="0"/>
              <w:widowControl w:val="0"/>
              <w:kinsoku/>
              <w:wordWrap/>
              <w:overflowPunct/>
              <w:topLinePunct w:val="0"/>
              <w:autoSpaceDE/>
              <w:autoSpaceDN/>
              <w:bidi w:val="0"/>
              <w:adjustRightInd/>
              <w:snapToGrid/>
              <w:spacing w:before="60" w:after="60" w:line="400" w:lineRule="exact"/>
              <w:ind w:firstLine="120"/>
              <w:jc w:val="both"/>
              <w:textAlignment w:val="center"/>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人民币</w:t>
            </w:r>
            <w:r>
              <w:rPr>
                <w:rFonts w:hint="eastAsia" w:ascii="华文宋体" w:hAnsi="华文宋体" w:eastAsia="华文宋体" w:cs="华文宋体"/>
                <w:bCs/>
                <w:color w:val="auto"/>
                <w:sz w:val="24"/>
                <w:szCs w:val="24"/>
                <w:highlight w:val="none"/>
                <w:u w:val="single"/>
              </w:rPr>
              <w:t>1600000.00</w:t>
            </w:r>
            <w:r>
              <w:rPr>
                <w:rFonts w:hint="eastAsia" w:ascii="华文宋体" w:hAnsi="华文宋体" w:eastAsia="华文宋体" w:cs="华文宋体"/>
                <w:bCs/>
                <w:color w:val="auto"/>
                <w:sz w:val="24"/>
                <w:szCs w:val="24"/>
                <w:highlight w:val="none"/>
              </w:rPr>
              <w:t>元</w:t>
            </w:r>
          </w:p>
        </w:tc>
      </w:tr>
    </w:tbl>
    <w:p>
      <w:pPr>
        <w:spacing w:line="440" w:lineRule="exact"/>
        <w:ind w:firstLine="240" w:firstLineChars="10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注：本项目按时结算，任何情况采购人不保证</w:t>
      </w:r>
      <w:r>
        <w:rPr>
          <w:rFonts w:hint="eastAsia" w:ascii="华文宋体" w:hAnsi="华文宋体" w:eastAsia="华文宋体" w:cs="华文宋体"/>
          <w:color w:val="auto"/>
          <w:sz w:val="24"/>
          <w:szCs w:val="24"/>
          <w:highlight w:val="none"/>
          <w:lang w:val="en-US" w:eastAsia="zh-CN"/>
        </w:rPr>
        <w:t>成交</w:t>
      </w:r>
      <w:r>
        <w:rPr>
          <w:rFonts w:hint="eastAsia" w:ascii="华文宋体" w:hAnsi="华文宋体" w:eastAsia="华文宋体" w:cs="华文宋体"/>
          <w:color w:val="auto"/>
          <w:sz w:val="24"/>
          <w:szCs w:val="24"/>
          <w:highlight w:val="none"/>
        </w:rPr>
        <w:t>人的实际发生额</w:t>
      </w:r>
    </w:p>
    <w:p>
      <w:pPr>
        <w:pStyle w:val="76"/>
        <w:widowControl w:val="0"/>
        <w:spacing w:line="360" w:lineRule="auto"/>
        <w:ind w:firstLine="480" w:firstLineChars="200"/>
        <w:rPr>
          <w:rFonts w:hint="eastAsia" w:ascii="华文宋体" w:hAnsi="华文宋体" w:eastAsia="华文宋体" w:cs="华文宋体"/>
          <w:b w:val="0"/>
          <w:bCs w:val="0"/>
          <w:color w:val="auto"/>
          <w:sz w:val="24"/>
          <w:szCs w:val="24"/>
          <w:highlight w:val="none"/>
        </w:rPr>
      </w:pPr>
      <w:r>
        <w:rPr>
          <w:rFonts w:hint="eastAsia" w:ascii="华文宋体" w:hAnsi="华文宋体" w:eastAsia="华文宋体" w:cs="华文宋体"/>
          <w:b w:val="0"/>
          <w:bCs w:val="0"/>
          <w:color w:val="auto"/>
          <w:sz w:val="24"/>
          <w:szCs w:val="24"/>
          <w:highlight w:val="none"/>
        </w:rPr>
        <w:t>（二）维修车辆型号</w:t>
      </w:r>
    </w:p>
    <w:tbl>
      <w:tblPr>
        <w:tblStyle w:val="30"/>
        <w:tblW w:w="48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987"/>
        <w:gridCol w:w="1071"/>
        <w:gridCol w:w="5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78"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序号</w:t>
            </w:r>
          </w:p>
        </w:tc>
        <w:tc>
          <w:tcPr>
            <w:tcW w:w="107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车辆型号</w:t>
            </w:r>
          </w:p>
        </w:tc>
        <w:tc>
          <w:tcPr>
            <w:tcW w:w="58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数量</w:t>
            </w:r>
          </w:p>
        </w:tc>
        <w:tc>
          <w:tcPr>
            <w:tcW w:w="296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生产单位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rPr>
              <w:t>1</w:t>
            </w:r>
          </w:p>
        </w:tc>
        <w:tc>
          <w:tcPr>
            <w:tcW w:w="1076"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shd w:val="clear" w:color="auto" w:fill="FFFFFF"/>
              </w:rPr>
              <w:t>举高消防车</w:t>
            </w:r>
          </w:p>
        </w:tc>
        <w:tc>
          <w:tcPr>
            <w:tcW w:w="580"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shd w:val="clear" w:color="auto" w:fill="FFFFFF"/>
                <w:lang w:val="en-US" w:eastAsia="zh-CN"/>
              </w:rPr>
              <w:t>8</w:t>
            </w:r>
            <w:r>
              <w:rPr>
                <w:rFonts w:hint="eastAsia" w:ascii="华文宋体" w:hAnsi="华文宋体" w:eastAsia="华文宋体" w:cs="华文宋体"/>
                <w:color w:val="auto"/>
                <w:sz w:val="24"/>
                <w:szCs w:val="24"/>
                <w:highlight w:val="none"/>
                <w:shd w:val="clear" w:color="auto" w:fill="FFFFFF"/>
              </w:rPr>
              <w:t>辆</w:t>
            </w:r>
          </w:p>
        </w:tc>
        <w:tc>
          <w:tcPr>
            <w:tcW w:w="2965" w:type="pct"/>
            <w:noWrap w:val="0"/>
            <w:vAlign w:val="top"/>
          </w:tcPr>
          <w:p>
            <w:pPr>
              <w:pStyle w:val="7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rPr>
              <w:t>芬兰博浪涛云梯车有限公司、奥地利卢森宝亚国际有限公司、日本株式会社森田有限公司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rPr>
              <w:t>2</w:t>
            </w:r>
          </w:p>
        </w:tc>
        <w:tc>
          <w:tcPr>
            <w:tcW w:w="1076"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shd w:val="clear" w:color="auto" w:fill="FFFFFF"/>
              </w:rPr>
              <w:t>举高喷射消防车</w:t>
            </w:r>
          </w:p>
        </w:tc>
        <w:tc>
          <w:tcPr>
            <w:tcW w:w="580"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shd w:val="clear" w:color="auto" w:fill="FFFFFF"/>
                <w:lang w:val="en-US" w:eastAsia="zh-CN"/>
              </w:rPr>
              <w:t>4</w:t>
            </w:r>
            <w:r>
              <w:rPr>
                <w:rFonts w:hint="eastAsia" w:ascii="华文宋体" w:hAnsi="华文宋体" w:eastAsia="华文宋体" w:cs="华文宋体"/>
                <w:color w:val="auto"/>
                <w:sz w:val="24"/>
                <w:szCs w:val="24"/>
                <w:highlight w:val="none"/>
                <w:shd w:val="clear" w:color="auto" w:fill="FFFFFF"/>
              </w:rPr>
              <w:t>台</w:t>
            </w:r>
          </w:p>
        </w:tc>
        <w:tc>
          <w:tcPr>
            <w:tcW w:w="2965" w:type="pct"/>
            <w:noWrap w:val="0"/>
            <w:vAlign w:val="top"/>
          </w:tcPr>
          <w:p>
            <w:pPr>
              <w:pStyle w:val="7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rPr>
              <w:t>沈阳捷通消防车有限公司、奥地利卢森宝亚国际有限公司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rPr>
              <w:t>3</w:t>
            </w:r>
          </w:p>
        </w:tc>
        <w:tc>
          <w:tcPr>
            <w:tcW w:w="1076"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shd w:val="clear" w:color="auto" w:fill="FFFFFF"/>
              </w:rPr>
              <w:t>后援保障消防车</w:t>
            </w:r>
          </w:p>
        </w:tc>
        <w:tc>
          <w:tcPr>
            <w:tcW w:w="580"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shd w:val="clear" w:color="auto" w:fill="FFFFFF"/>
                <w:lang w:val="en-US" w:eastAsia="zh-CN"/>
              </w:rPr>
              <w:t>5</w:t>
            </w:r>
            <w:r>
              <w:rPr>
                <w:rFonts w:hint="eastAsia" w:ascii="华文宋体" w:hAnsi="华文宋体" w:eastAsia="华文宋体" w:cs="华文宋体"/>
                <w:color w:val="auto"/>
                <w:sz w:val="24"/>
                <w:szCs w:val="24"/>
                <w:highlight w:val="none"/>
                <w:shd w:val="clear" w:color="auto" w:fill="FFFFFF"/>
              </w:rPr>
              <w:t>台</w:t>
            </w:r>
          </w:p>
        </w:tc>
        <w:tc>
          <w:tcPr>
            <w:tcW w:w="2965" w:type="pct"/>
            <w:noWrap w:val="0"/>
            <w:vAlign w:val="top"/>
          </w:tcPr>
          <w:p>
            <w:pPr>
              <w:pStyle w:val="7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rPr>
              <w:t>东莞永强奥林宝国际消防车辆有限公司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rPr>
              <w:t>4</w:t>
            </w:r>
          </w:p>
        </w:tc>
        <w:tc>
          <w:tcPr>
            <w:tcW w:w="1076"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shd w:val="clear" w:color="auto" w:fill="FFFFFF"/>
              </w:rPr>
              <w:t>抢险救援消防车</w:t>
            </w:r>
          </w:p>
        </w:tc>
        <w:tc>
          <w:tcPr>
            <w:tcW w:w="580"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shd w:val="clear" w:color="auto" w:fill="FFFFFF"/>
                <w:lang w:val="en-US" w:eastAsia="zh-CN"/>
              </w:rPr>
              <w:t>5</w:t>
            </w:r>
            <w:r>
              <w:rPr>
                <w:rFonts w:hint="eastAsia" w:ascii="华文宋体" w:hAnsi="华文宋体" w:eastAsia="华文宋体" w:cs="华文宋体"/>
                <w:color w:val="auto"/>
                <w:sz w:val="24"/>
                <w:szCs w:val="24"/>
                <w:highlight w:val="none"/>
                <w:shd w:val="clear" w:color="auto" w:fill="FFFFFF"/>
              </w:rPr>
              <w:t>台</w:t>
            </w:r>
          </w:p>
        </w:tc>
        <w:tc>
          <w:tcPr>
            <w:tcW w:w="2965" w:type="pct"/>
            <w:noWrap w:val="0"/>
            <w:vAlign w:val="top"/>
          </w:tcPr>
          <w:p>
            <w:pPr>
              <w:pStyle w:val="7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rPr>
              <w:t>上海金盾特种车辆装备有限公司、东莞永强奥林宝国际消防车辆有限公司、沈阳捷通消防车有限公司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rPr>
              <w:t>5</w:t>
            </w:r>
          </w:p>
        </w:tc>
        <w:tc>
          <w:tcPr>
            <w:tcW w:w="1076"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shd w:val="clear" w:color="auto" w:fill="FFFFFF"/>
              </w:rPr>
              <w:t>照明消防车</w:t>
            </w:r>
          </w:p>
        </w:tc>
        <w:tc>
          <w:tcPr>
            <w:tcW w:w="580"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shd w:val="clear" w:color="auto" w:fill="FFFFFF"/>
              </w:rPr>
              <w:t>1台</w:t>
            </w:r>
          </w:p>
        </w:tc>
        <w:tc>
          <w:tcPr>
            <w:tcW w:w="2965" w:type="pct"/>
            <w:noWrap w:val="0"/>
            <w:vAlign w:val="top"/>
          </w:tcPr>
          <w:p>
            <w:pPr>
              <w:pStyle w:val="7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rPr>
              <w:t>捷达消防科技（苏州）股份有限公司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rPr>
              <w:t>6</w:t>
            </w:r>
          </w:p>
        </w:tc>
        <w:tc>
          <w:tcPr>
            <w:tcW w:w="1076"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shd w:val="clear" w:color="auto" w:fill="FFFFFF"/>
              </w:rPr>
              <w:t>泡沫水罐消防车</w:t>
            </w:r>
          </w:p>
        </w:tc>
        <w:tc>
          <w:tcPr>
            <w:tcW w:w="580" w:type="pct"/>
            <w:noWrap w:val="0"/>
            <w:vAlign w:val="center"/>
          </w:tcPr>
          <w:p>
            <w:pPr>
              <w:pStyle w:val="7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shd w:val="clear" w:color="auto" w:fill="FFFFFF"/>
                <w:lang w:val="en-US" w:eastAsia="zh-CN"/>
              </w:rPr>
              <w:t>27</w:t>
            </w:r>
            <w:r>
              <w:rPr>
                <w:rFonts w:hint="eastAsia" w:ascii="华文宋体" w:hAnsi="华文宋体" w:eastAsia="华文宋体" w:cs="华文宋体"/>
                <w:color w:val="auto"/>
                <w:sz w:val="24"/>
                <w:szCs w:val="24"/>
                <w:highlight w:val="none"/>
                <w:shd w:val="clear" w:color="auto" w:fill="FFFFFF"/>
              </w:rPr>
              <w:t>台</w:t>
            </w:r>
          </w:p>
        </w:tc>
        <w:tc>
          <w:tcPr>
            <w:tcW w:w="2965" w:type="pct"/>
            <w:noWrap w:val="0"/>
            <w:vAlign w:val="top"/>
          </w:tcPr>
          <w:p>
            <w:pPr>
              <w:pStyle w:val="7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sz w:val="24"/>
                <w:szCs w:val="24"/>
                <w:highlight w:val="none"/>
              </w:rPr>
              <w:t>苏州捷达消防车辆装备有限公司、德国齐格勒消防及救援车辆(集团)有限责任公司、卢森宝亚消防车辆装备有限公司、美国豪士科集团公司、奥地利卢森宝亚国际有限公司、上海金盾特种车装备有限公司、美国大力公司</w:t>
            </w: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firstLine="240" w:firstLineChars="100"/>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kern w:val="0"/>
          <w:sz w:val="24"/>
          <w:szCs w:val="24"/>
          <w:highlight w:val="none"/>
        </w:rPr>
        <w:t>（</w:t>
      </w:r>
      <w:r>
        <w:rPr>
          <w:rFonts w:hint="eastAsia" w:ascii="华文宋体" w:hAnsi="华文宋体" w:eastAsia="华文宋体" w:cs="华文宋体"/>
          <w:color w:val="auto"/>
          <w:kern w:val="0"/>
          <w:sz w:val="24"/>
          <w:szCs w:val="24"/>
          <w:highlight w:val="none"/>
          <w:lang w:val="en-US" w:eastAsia="zh-CN"/>
        </w:rPr>
        <w:t>三</w:t>
      </w:r>
      <w:r>
        <w:rPr>
          <w:rFonts w:hint="eastAsia" w:ascii="华文宋体" w:hAnsi="华文宋体" w:eastAsia="华文宋体" w:cs="华文宋体"/>
          <w:color w:val="auto"/>
          <w:kern w:val="0"/>
          <w:sz w:val="24"/>
          <w:szCs w:val="24"/>
          <w:highlight w:val="none"/>
        </w:rPr>
        <w:t>）车辆数量：50辆（现有），具体车辆数量根据实际情况调整。</w:t>
      </w:r>
    </w:p>
    <w:p>
      <w:pPr>
        <w:keepNext w:val="0"/>
        <w:keepLines w:val="0"/>
        <w:pageBreakBefore w:val="0"/>
        <w:kinsoku/>
        <w:wordWrap/>
        <w:overflowPunct/>
        <w:topLinePunct w:val="0"/>
        <w:autoSpaceDE/>
        <w:autoSpaceDN/>
        <w:bidi w:val="0"/>
        <w:adjustRightInd/>
        <w:snapToGrid/>
        <w:spacing w:line="440" w:lineRule="exact"/>
        <w:ind w:left="480" w:leftChars="0" w:hanging="480" w:hangingChars="200"/>
        <w:textAlignment w:val="auto"/>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br w:type="textWrapping"/>
      </w:r>
      <w:r>
        <w:rPr>
          <w:rFonts w:hint="eastAsia" w:ascii="华文宋体" w:hAnsi="华文宋体" w:eastAsia="华文宋体" w:cs="华文宋体"/>
          <w:b/>
          <w:bCs/>
          <w:color w:val="auto"/>
          <w:sz w:val="24"/>
          <w:szCs w:val="24"/>
          <w:highlight w:val="none"/>
        </w:rPr>
        <w:t>三、服务范围</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消防车辆维修、维护保养，包括提供车辆一级维护、二级维护、总成修理、车辆小修和车辆专项修理、二十四小时免费拖车服务和其他有关的消防车维修服务项目。</w:t>
      </w:r>
    </w:p>
    <w:p>
      <w:pPr>
        <w:keepNext w:val="0"/>
        <w:keepLines w:val="0"/>
        <w:pageBreakBefore w:val="0"/>
        <w:kinsoku/>
        <w:wordWrap/>
        <w:overflowPunct/>
        <w:topLinePunct w:val="0"/>
        <w:autoSpaceDE/>
        <w:autoSpaceDN/>
        <w:bidi w:val="0"/>
        <w:adjustRightInd/>
        <w:snapToGrid/>
        <w:spacing w:line="440" w:lineRule="exact"/>
        <w:ind w:left="480" w:leftChars="0" w:hanging="480" w:hangingChars="200"/>
        <w:textAlignment w:val="auto"/>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br w:type="textWrapping"/>
      </w:r>
      <w:r>
        <w:rPr>
          <w:rFonts w:hint="eastAsia" w:ascii="华文宋体" w:hAnsi="华文宋体" w:eastAsia="华文宋体" w:cs="华文宋体"/>
          <w:b/>
          <w:bCs/>
          <w:color w:val="auto"/>
          <w:sz w:val="24"/>
          <w:szCs w:val="24"/>
          <w:highlight w:val="none"/>
        </w:rPr>
        <w:t>四、质量要求</w:t>
      </w:r>
    </w:p>
    <w:p>
      <w:pPr>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1.所采用的零部件、配件等材料必须符合国家或部颁标准和行业标准以及汽车维修相关标准。必须有合法的进货渠道，不得使用假冒伪劣产品或以次充好。经采购人同意，可以用替代件或旧件的，成交供应商必须在材料清单中加以注明，否则不得使用旧件。</w:t>
      </w:r>
    </w:p>
    <w:p>
      <w:pPr>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2.响应供应商须自觉遵守国家法律、法规，合法经营。必须严格遵守《中华人民共和国交通运输行业标准机动车维修服务规范》、《交通运输部关于修改&lt;机动车维修管理规定&gt;的决定》（交通运输部令2019年第20号）及《广州市机动车维修管理规定》等相关规定。</w:t>
      </w:r>
    </w:p>
    <w:p>
      <w:pPr>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3.★响应供应商承诺按照《交通运输部关于修改&lt;机动车维修管理规定&gt;的决定》（交通运输部令2019年第20号）、《交通运输部办公厅关于开展汽车维修电子健康档案系统建设工作的通知》（交办运〔2017〕69号）等相关规定，配合行业主管部门严格执行汽车维修电子健康档案和机动车维修竣工出厂合格证制度。（响应供应商须在响应文件中提供承诺函）</w:t>
      </w:r>
    </w:p>
    <w:p>
      <w:pPr>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4.响应供应商承诺根据《“十三五”挥发性有机物污染防治工作方案》（环大气〔2017〕121号）、《广东省挥发性有机物（VOCs）整治与减排工作方案（2018-2020年）》（粤环发〔2018〕6号）、《广州市挥发性有机物污染综合整治工作方案（2017-2020）》（穗环〔2017〕52号）及《广州市机动车维修行业挥发性有机物（VOCs）污染整治工作方案》规定，按照环保部门要求进行污染整治。</w:t>
      </w:r>
    </w:p>
    <w:p>
      <w:pPr>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5.响应供应商须严格遵守《广州市机动车维修管理规定》，且具备计算机管理系统及上网条件，按交通运输主管部门和行业协会规定加入广州市维修行业互联网智能化平台。</w:t>
      </w:r>
    </w:p>
    <w:p>
      <w:pPr>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6.响应供应商须推广应用机动车维修环保、节能、不解体检测和故障诊断技术，推进行业信息化建设和救援、维修服务网络化建设，响应供应商需具备自有的喷涂补漆场所（已取得上级环保合格证的），可自行完成涉漆业务，污水排放要符合《城镇污水排入排水管网许可管理办法》，有必要的环境保护措施。</w:t>
      </w:r>
    </w:p>
    <w:p>
      <w:pPr>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华文宋体" w:hAnsi="华文宋体" w:eastAsia="华文宋体" w:cs="华文宋体"/>
          <w:color w:val="auto"/>
          <w:kern w:val="0"/>
          <w:sz w:val="24"/>
          <w:szCs w:val="24"/>
          <w:highlight w:val="none"/>
          <w:lang w:eastAsia="zh-CN"/>
        </w:rPr>
      </w:pPr>
      <w:r>
        <w:rPr>
          <w:rFonts w:hint="eastAsia" w:ascii="华文宋体" w:hAnsi="华文宋体" w:eastAsia="华文宋体" w:cs="华文宋体"/>
          <w:color w:val="auto"/>
          <w:kern w:val="0"/>
          <w:sz w:val="24"/>
          <w:szCs w:val="24"/>
          <w:highlight w:val="none"/>
        </w:rPr>
        <w:t>7.响应供应商须有健全的维修管理制度。包括不限于质量管理制度、安全生产管理制度、车辆维修档案管理制度、人员培训制度、设备管理制度、岗位责任制度、质量控制制度及配件管理制度等</w:t>
      </w:r>
      <w:r>
        <w:rPr>
          <w:rFonts w:hint="eastAsia" w:ascii="华文宋体" w:hAnsi="华文宋体" w:eastAsia="华文宋体" w:cs="华文宋体"/>
          <w:color w:val="auto"/>
          <w:kern w:val="0"/>
          <w:sz w:val="24"/>
          <w:szCs w:val="24"/>
          <w:highlight w:val="none"/>
          <w:lang w:eastAsia="zh-CN"/>
        </w:rPr>
        <w:t>。</w:t>
      </w:r>
    </w:p>
    <w:p>
      <w:pPr>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8.被修车辆达不到规定的质量标准和技术要求的，返修不得再计价收费。车辆竣工出厂执行质量保证期制度。</w:t>
      </w:r>
    </w:p>
    <w:p>
      <w:pPr>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9.责任保障期限及车辆质量保障按照国家有关部门颁发的最新标准执行。在质量保证期内，因维修质量造成的直接经济损失，由成交供应商负责。</w:t>
      </w:r>
    </w:p>
    <w:p>
      <w:pPr>
        <w:keepNext w:val="0"/>
        <w:keepLines w:val="0"/>
        <w:pageBreakBefore w:val="0"/>
        <w:widowControl/>
        <w:tabs>
          <w:tab w:val="left" w:pos="0"/>
        </w:tabs>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10.车辆返修率要控制在5%以内，并建立汽车维修档案，认真记录车辆维修情况。</w:t>
      </w:r>
    </w:p>
    <w:p>
      <w:pPr>
        <w:keepNext w:val="0"/>
        <w:keepLines w:val="0"/>
        <w:pageBreakBefore w:val="0"/>
        <w:kinsoku/>
        <w:wordWrap/>
        <w:overflowPunct/>
        <w:topLinePunct w:val="0"/>
        <w:autoSpaceDE/>
        <w:autoSpaceDN/>
        <w:bidi w:val="0"/>
        <w:adjustRightInd/>
        <w:snapToGrid/>
        <w:spacing w:line="440" w:lineRule="exact"/>
        <w:ind w:left="480" w:leftChars="0" w:hanging="480" w:hangingChars="200"/>
        <w:textAlignment w:val="auto"/>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br w:type="textWrapping"/>
      </w:r>
      <w:r>
        <w:rPr>
          <w:rFonts w:hint="eastAsia" w:ascii="华文宋体" w:hAnsi="华文宋体" w:eastAsia="华文宋体" w:cs="华文宋体"/>
          <w:b/>
          <w:bCs/>
          <w:color w:val="auto"/>
          <w:sz w:val="24"/>
          <w:szCs w:val="24"/>
          <w:highlight w:val="none"/>
        </w:rPr>
        <w:t>五、服务要求</w:t>
      </w:r>
    </w:p>
    <w:p>
      <w:pPr>
        <w:keepNext w:val="0"/>
        <w:keepLines w:val="0"/>
        <w:pageBreakBefore w:val="0"/>
        <w:widowControl w:val="0"/>
        <w:numPr>
          <w:ilvl w:val="0"/>
          <w:numId w:val="18"/>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场地及设施要求</w:t>
      </w:r>
    </w:p>
    <w:p>
      <w:pPr>
        <w:keepNext w:val="0"/>
        <w:keepLines w:val="0"/>
        <w:pageBreakBefore w:val="0"/>
        <w:widowControl w:val="0"/>
        <w:numPr>
          <w:ilvl w:val="1"/>
          <w:numId w:val="19"/>
        </w:numPr>
        <w:tabs>
          <w:tab w:val="clear" w:pos="840"/>
        </w:tabs>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场地符合国家规定的标准要求</w:t>
      </w:r>
      <w:r>
        <w:rPr>
          <w:rFonts w:hint="eastAsia" w:ascii="华文宋体" w:hAnsi="华文宋体" w:eastAsia="华文宋体" w:cs="华文宋体"/>
          <w:color w:val="auto"/>
          <w:kern w:val="0"/>
          <w:sz w:val="24"/>
          <w:szCs w:val="24"/>
          <w:highlight w:val="none"/>
          <w:lang w:eastAsia="zh-CN"/>
        </w:rPr>
        <w:t>，</w:t>
      </w:r>
      <w:r>
        <w:rPr>
          <w:rFonts w:hint="eastAsia" w:ascii="华文宋体" w:hAnsi="华文宋体" w:eastAsia="华文宋体" w:cs="华文宋体"/>
          <w:color w:val="auto"/>
          <w:kern w:val="0"/>
          <w:sz w:val="24"/>
          <w:szCs w:val="24"/>
          <w:highlight w:val="none"/>
        </w:rPr>
        <w:t>停车场出入口及通道能自由进出宽度3.2M，高度4.2M的车辆,维修车间能存放长度15.4M，宽度3.2M，高度4.2M的车辆，并且交通便利（或设有合理、明显的指示标志）；</w:t>
      </w:r>
    </w:p>
    <w:p>
      <w:pPr>
        <w:keepNext w:val="0"/>
        <w:keepLines w:val="0"/>
        <w:pageBreakBefore w:val="0"/>
        <w:widowControl w:val="0"/>
        <w:numPr>
          <w:ilvl w:val="1"/>
          <w:numId w:val="19"/>
        </w:numPr>
        <w:tabs>
          <w:tab w:val="clear" w:pos="840"/>
        </w:tabs>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修理车间布局合理、车间设施良好、修理工位标示明确；</w:t>
      </w:r>
    </w:p>
    <w:p>
      <w:pPr>
        <w:keepNext w:val="0"/>
        <w:keepLines w:val="0"/>
        <w:pageBreakBefore w:val="0"/>
        <w:widowControl w:val="0"/>
        <w:numPr>
          <w:ilvl w:val="1"/>
          <w:numId w:val="19"/>
        </w:numPr>
        <w:tabs>
          <w:tab w:val="clear" w:pos="840"/>
        </w:tabs>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企业各功能区标志清晰，企业资质证明、员工资格证明、营业时间要明确展示；</w:t>
      </w:r>
    </w:p>
    <w:p>
      <w:pPr>
        <w:keepNext w:val="0"/>
        <w:keepLines w:val="0"/>
        <w:pageBreakBefore w:val="0"/>
        <w:widowControl w:val="0"/>
        <w:numPr>
          <w:ilvl w:val="1"/>
          <w:numId w:val="19"/>
        </w:numPr>
        <w:tabs>
          <w:tab w:val="clear" w:pos="840"/>
        </w:tabs>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保留足够的停车场地和接待区，接待区要有满足客户登记和休息的设施。</w:t>
      </w:r>
    </w:p>
    <w:p>
      <w:pPr>
        <w:keepNext w:val="0"/>
        <w:keepLines w:val="0"/>
        <w:pageBreakBefore w:val="0"/>
        <w:widowControl w:val="0"/>
        <w:numPr>
          <w:ilvl w:val="0"/>
          <w:numId w:val="18"/>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经营要求</w:t>
      </w:r>
    </w:p>
    <w:p>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日常运作（接车、维修、交车、结算、投诉、索赔）要做到规范化、制度化，实行定人定岗，严格落实岗位责任制度，形成岗位责任追究制度，促进生产管理活动有秩序地进行。</w:t>
      </w:r>
    </w:p>
    <w:p>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接受委托维修时，维修项目和维修费用（工时费和配件费）都必须由采购人签名认可，成交供应商在标价时，应编制维修项目明细表，确保采购人对维修内容及其细节的知情权。</w:t>
      </w:r>
    </w:p>
    <w:p>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响应供应商对采购人车辆应当优先安排维修，车辆小修、保养当天完成，车辆在修时间整车维修不超过10天，总成维修不超过5天。需疑难零配件的特殊车辆维修或试过出险车辆维修，应视筹措配件难易程度或车辆损伤程度，由双方协调维修工期。</w:t>
      </w:r>
    </w:p>
    <w:p>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检验人员必须在现场对车辆进行诊断，初步确定维修项目，并要充分征求采购人的意见。</w:t>
      </w:r>
    </w:p>
    <w:p>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工作单上没有的项目，在维修过程中发现某些项目是必须追加的，维修人员应立即告知调度或技术负责人，确认后，在维修前应事先通知采购人，征得采购人同意，方能增加费用开始施工，并同时要追加工作单或在原工作单上补项。</w:t>
      </w:r>
    </w:p>
    <w:p>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零配（部）件要求：所采用的零配（部）件等材料必须符合国家标准，不得使用假冒伪劣产品或以次充好，以旧顶新。特殊情况下，经送修人同意，在保证安全质量的前提下，可以用旧件或副厂件。不论何种情况更换的零配（部）件均应在装配前取得送修人认可并在维修单上签字同意。消防车修理企业必须在材料电脑清单中注明为原厂件或副厂件或旧件。</w:t>
      </w:r>
    </w:p>
    <w:p>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对可以维修的部件，不得以换代修；不得与任何人串通，虚假修车或虚报维修项目，损害车属单位的利益，严禁送修人员或单位向响应供应商提出非分要求。需要更换的新部件（单件200元以上、成套500元以上）要制档备查，妥善保管好每一辆维修车所更换的旧件（必须与要换的新部件相符，如送修单位需要旧件，签字后可取回），单一打包，统一存放，到了一定批量时，采购人根据该车辆维修电脑清单逐一审核、处理，未经审批不得擅自丢弃。</w:t>
      </w:r>
    </w:p>
    <w:p>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汽车竣工出厂后，成交供应商应建立采购人档案（包括用户名称、地址、电话、联系人、车牌号、维修资料等），以便今后联系、调查和服务。</w:t>
      </w:r>
    </w:p>
    <w:p>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汽车竣工出厂后，责任保障期限及车辆质量保障按照国家有关部门颁发的最新标准执行。</w:t>
      </w:r>
    </w:p>
    <w:p>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在质量保证期内</w:t>
      </w:r>
      <w:r>
        <w:rPr>
          <w:rFonts w:hint="eastAsia" w:ascii="华文宋体" w:hAnsi="华文宋体" w:eastAsia="华文宋体" w:cs="华文宋体"/>
          <w:color w:val="auto"/>
          <w:kern w:val="0"/>
          <w:sz w:val="24"/>
          <w:szCs w:val="24"/>
          <w:highlight w:val="none"/>
          <w:lang w:eastAsia="zh-CN"/>
        </w:rPr>
        <w:t>（</w:t>
      </w:r>
      <w:r>
        <w:rPr>
          <w:rFonts w:hint="eastAsia" w:ascii="华文宋体" w:hAnsi="华文宋体" w:eastAsia="华文宋体" w:cs="华文宋体"/>
          <w:color w:val="auto"/>
          <w:kern w:val="0"/>
          <w:sz w:val="24"/>
          <w:szCs w:val="24"/>
          <w:highlight w:val="none"/>
          <w:lang w:val="en-US" w:eastAsia="zh-CN"/>
        </w:rPr>
        <w:t>质量保证期：自维修完成一年内</w:t>
      </w:r>
      <w:r>
        <w:rPr>
          <w:rFonts w:hint="eastAsia" w:ascii="华文宋体" w:hAnsi="华文宋体" w:eastAsia="华文宋体" w:cs="华文宋体"/>
          <w:color w:val="auto"/>
          <w:kern w:val="0"/>
          <w:sz w:val="24"/>
          <w:szCs w:val="24"/>
          <w:highlight w:val="none"/>
          <w:lang w:eastAsia="zh-CN"/>
        </w:rPr>
        <w:t>）</w:t>
      </w:r>
      <w:r>
        <w:rPr>
          <w:rFonts w:hint="eastAsia" w:ascii="华文宋体" w:hAnsi="华文宋体" w:eastAsia="华文宋体" w:cs="华文宋体"/>
          <w:color w:val="auto"/>
          <w:kern w:val="0"/>
          <w:sz w:val="24"/>
          <w:szCs w:val="24"/>
          <w:highlight w:val="none"/>
        </w:rPr>
        <w:t>，因维修质量造成的车辆故障或损坏的，成交供应商应负责及时返修，由于维修质量问题造成的车辆异常损坏或车辆机件事故的，由成交供应商负责。</w:t>
      </w:r>
    </w:p>
    <w:p>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成交供应商不得以任何借口动用消防车，未经采购人允许不得将车开出厂试车或作它用。</w:t>
      </w:r>
    </w:p>
    <w:p>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响应供应商承诺对采购人车辆实行应急救援服务、上门维修服务和24小时服务；当采购人车辆在营区内发生故障，响应供应商应在采购人提出维修需求后1小时提供上门维修服务；在广州市行政区域，采购人车辆发生故障需急修的，响应供应商应及时派员抢修，2小时内到达，并免费提供拖车救援服务；当采购人执行重大任务用车时，响应供应商应派出维修人员伴随保障。响应供应商应当建立</w:t>
      </w:r>
      <w:r>
        <w:rPr>
          <w:rFonts w:hint="eastAsia" w:ascii="华文宋体" w:hAnsi="华文宋体" w:eastAsia="华文宋体" w:cs="华文宋体"/>
          <w:color w:val="auto"/>
          <w:kern w:val="0"/>
          <w:sz w:val="24"/>
          <w:szCs w:val="24"/>
          <w:highlight w:val="none"/>
          <w:lang w:eastAsia="zh-CN"/>
        </w:rPr>
        <w:t>车辆</w:t>
      </w:r>
      <w:r>
        <w:rPr>
          <w:rFonts w:hint="eastAsia" w:ascii="华文宋体" w:hAnsi="华文宋体" w:eastAsia="华文宋体" w:cs="华文宋体"/>
          <w:color w:val="auto"/>
          <w:kern w:val="0"/>
          <w:sz w:val="24"/>
          <w:szCs w:val="24"/>
          <w:highlight w:val="none"/>
        </w:rPr>
        <w:t>维修应急保障组，制定应急保障方案。采购人提供应急保障需求时。响应供应商应急保障组必须立即出动，能够完成</w:t>
      </w:r>
      <w:r>
        <w:rPr>
          <w:rFonts w:hint="eastAsia" w:ascii="华文宋体" w:hAnsi="华文宋体" w:eastAsia="华文宋体" w:cs="华文宋体"/>
          <w:color w:val="auto"/>
          <w:kern w:val="0"/>
          <w:sz w:val="24"/>
          <w:szCs w:val="24"/>
          <w:highlight w:val="none"/>
          <w:lang w:eastAsia="zh-CN"/>
        </w:rPr>
        <w:t>采购单位</w:t>
      </w:r>
      <w:r>
        <w:rPr>
          <w:rFonts w:hint="eastAsia" w:ascii="华文宋体" w:hAnsi="华文宋体" w:eastAsia="华文宋体" w:cs="华文宋体"/>
          <w:color w:val="auto"/>
          <w:kern w:val="0"/>
          <w:sz w:val="24"/>
          <w:szCs w:val="24"/>
          <w:highlight w:val="none"/>
        </w:rPr>
        <w:t>因战备任务需要紧急维修的任务。（响应供应商须在响应文件中提供承诺函）</w:t>
      </w:r>
    </w:p>
    <w:p>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采购人留厂检修车辆，成交供应商不得擅自驾驶上路，或挪作它用。</w:t>
      </w:r>
    </w:p>
    <w:p>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本项目须配备符合消防车辆检修的设备，严格执行在响应文件中提出的服务承诺。</w:t>
      </w:r>
    </w:p>
    <w:p>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必须服从有关部门的监督、管理，不得将采购人的车辆转厂维修，不得代开发票、收取开票费。</w:t>
      </w:r>
    </w:p>
    <w:p>
      <w:pPr>
        <w:keepNext w:val="0"/>
        <w:keepLines w:val="0"/>
        <w:pageBreakBefore w:val="0"/>
        <w:kinsoku/>
        <w:wordWrap/>
        <w:overflowPunct/>
        <w:topLinePunct w:val="0"/>
        <w:autoSpaceDE/>
        <w:autoSpaceDN/>
        <w:bidi w:val="0"/>
        <w:adjustRightInd/>
        <w:snapToGrid/>
        <w:spacing w:line="440" w:lineRule="exact"/>
        <w:ind w:left="480" w:leftChars="0" w:hanging="480" w:hangingChars="200"/>
        <w:textAlignment w:val="auto"/>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br w:type="textWrapping"/>
      </w:r>
      <w:r>
        <w:rPr>
          <w:rFonts w:hint="eastAsia" w:ascii="华文宋体" w:hAnsi="华文宋体" w:eastAsia="华文宋体" w:cs="华文宋体"/>
          <w:b/>
          <w:bCs/>
          <w:color w:val="auto"/>
          <w:sz w:val="24"/>
          <w:szCs w:val="24"/>
          <w:highlight w:val="none"/>
        </w:rPr>
        <w:t>六、管理要求</w:t>
      </w:r>
    </w:p>
    <w:p>
      <w:pPr>
        <w:keepNext w:val="0"/>
        <w:keepLines w:val="0"/>
        <w:pageBreakBefore w:val="0"/>
        <w:numPr>
          <w:ilvl w:val="0"/>
          <w:numId w:val="21"/>
        </w:numPr>
        <w:tabs>
          <w:tab w:val="left" w:pos="0"/>
        </w:tabs>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成交供应商的服务项目、服务收费、服务承诺等内容等应向采购人公开，在业务接待室的显眼处公布企业的有关证照、维修项目工时费折扣率和附加管理费费率、质量保证规定、监督投诉电话。</w:t>
      </w:r>
    </w:p>
    <w:p>
      <w:pPr>
        <w:keepNext w:val="0"/>
        <w:keepLines w:val="0"/>
        <w:pageBreakBefore w:val="0"/>
        <w:numPr>
          <w:ilvl w:val="0"/>
          <w:numId w:val="21"/>
        </w:numPr>
        <w:tabs>
          <w:tab w:val="left" w:pos="0"/>
        </w:tabs>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维修管理制度、财务管理制度、岗位责任制度、质量控制制度健全、有效、合理。</w:t>
      </w:r>
    </w:p>
    <w:p>
      <w:pPr>
        <w:keepNext w:val="0"/>
        <w:keepLines w:val="0"/>
        <w:pageBreakBefore w:val="0"/>
        <w:numPr>
          <w:ilvl w:val="0"/>
          <w:numId w:val="21"/>
        </w:numPr>
        <w:tabs>
          <w:tab w:val="left" w:pos="0"/>
        </w:tabs>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本项目须配备维修人员，维修人员需参加安全生产教育。</w:t>
      </w:r>
    </w:p>
    <w:p>
      <w:pPr>
        <w:keepNext w:val="0"/>
        <w:keepLines w:val="0"/>
        <w:pageBreakBefore w:val="0"/>
        <w:numPr>
          <w:ilvl w:val="0"/>
          <w:numId w:val="21"/>
        </w:numPr>
        <w:tabs>
          <w:tab w:val="left" w:pos="0"/>
        </w:tabs>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流程环节清楚、合理、有序。</w:t>
      </w:r>
    </w:p>
    <w:p>
      <w:pPr>
        <w:keepNext w:val="0"/>
        <w:keepLines w:val="0"/>
        <w:pageBreakBefore w:val="0"/>
        <w:numPr>
          <w:ilvl w:val="0"/>
          <w:numId w:val="21"/>
        </w:numPr>
        <w:tabs>
          <w:tab w:val="left" w:pos="0"/>
        </w:tabs>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人员着装整洁、佩带标牌、能够提供文明、优质的服务。</w:t>
      </w:r>
    </w:p>
    <w:p>
      <w:pPr>
        <w:keepNext w:val="0"/>
        <w:keepLines w:val="0"/>
        <w:pageBreakBefore w:val="0"/>
        <w:numPr>
          <w:ilvl w:val="0"/>
          <w:numId w:val="21"/>
        </w:numPr>
        <w:tabs>
          <w:tab w:val="left" w:pos="0"/>
        </w:tabs>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有符合规定的出厂质检工序。</w:t>
      </w:r>
    </w:p>
    <w:p>
      <w:pPr>
        <w:keepNext w:val="0"/>
        <w:keepLines w:val="0"/>
        <w:pageBreakBefore w:val="0"/>
        <w:numPr>
          <w:ilvl w:val="0"/>
          <w:numId w:val="21"/>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重要检测维修设备、操作规程实施有效，专人对设备的使用进行管理，保证状态良好。</w:t>
      </w:r>
    </w:p>
    <w:p>
      <w:pPr>
        <w:keepNext w:val="0"/>
        <w:keepLines w:val="0"/>
        <w:pageBreakBefore w:val="0"/>
        <w:kinsoku/>
        <w:wordWrap/>
        <w:overflowPunct/>
        <w:topLinePunct w:val="0"/>
        <w:autoSpaceDE/>
        <w:autoSpaceDN/>
        <w:bidi w:val="0"/>
        <w:adjustRightInd/>
        <w:snapToGrid/>
        <w:spacing w:line="440" w:lineRule="exact"/>
        <w:ind w:left="480" w:leftChars="0" w:hanging="480" w:hangingChars="200"/>
        <w:textAlignment w:val="auto"/>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br w:type="textWrapping"/>
      </w:r>
      <w:r>
        <w:rPr>
          <w:rFonts w:hint="eastAsia" w:ascii="华文宋体" w:hAnsi="华文宋体" w:eastAsia="华文宋体" w:cs="华文宋体"/>
          <w:b/>
          <w:bCs/>
          <w:color w:val="auto"/>
          <w:sz w:val="24"/>
          <w:szCs w:val="24"/>
          <w:highlight w:val="none"/>
        </w:rPr>
        <w:t>七、报价要求</w:t>
      </w:r>
    </w:p>
    <w:p>
      <w:pPr>
        <w:keepNext w:val="0"/>
        <w:keepLines w:val="0"/>
        <w:pageBreakBefore w:val="0"/>
        <w:numPr>
          <w:ilvl w:val="0"/>
          <w:numId w:val="22"/>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维修费用计价公式</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维修费用总金额＝维修项目工时费＋零配件费用</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维修项目工时费＝维修项目工时费收费标准×维修项目工时费折扣率</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零配件费用＝零配件进货价格×（1+附加管理费费率）</w:t>
      </w:r>
    </w:p>
    <w:p>
      <w:pPr>
        <w:keepNext w:val="0"/>
        <w:keepLines w:val="0"/>
        <w:pageBreakBefore w:val="0"/>
        <w:numPr>
          <w:ilvl w:val="0"/>
          <w:numId w:val="22"/>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报价要求</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供应商按照附件1《消防车维修项目工时费标准价明细表》收费标准，报出维修项目工时费折扣率。</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供应商所报“维修项目工时费折扣率”范围为：0%＜维修项目工时费折扣率≤100%，维修项目工时费折扣率必须为固定值，不接受区间报价，供应商未按要求进行填报的，作无效投标处理。</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零配件进货价格应当做到公开、透明、真实。</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供应商所报“附加管理费费率”范围为：0%＜附加管理费费率≤100%，附加管理费费率必须为固定值，不接受区间报价，供应商未按要求进行填报的，作无效投标处理。</w:t>
      </w:r>
    </w:p>
    <w:p>
      <w:pPr>
        <w:keepNext w:val="0"/>
        <w:keepLines w:val="0"/>
        <w:pageBreakBefore w:val="0"/>
        <w:numPr>
          <w:ilvl w:val="0"/>
          <w:numId w:val="22"/>
        </w:numPr>
        <w:kinsoku/>
        <w:wordWrap/>
        <w:overflowPunct/>
        <w:topLinePunct w:val="0"/>
        <w:autoSpaceDE/>
        <w:autoSpaceDN/>
        <w:bidi w:val="0"/>
        <w:adjustRightInd/>
        <w:snapToGrid/>
        <w:spacing w:line="440" w:lineRule="exact"/>
        <w:ind w:left="0" w:leftChars="0" w:firstLine="480" w:firstLineChars="20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以上报价包含所有税费。</w:t>
      </w:r>
    </w:p>
    <w:p>
      <w:pPr>
        <w:keepNext w:val="0"/>
        <w:keepLines w:val="0"/>
        <w:pageBreakBefore w:val="0"/>
        <w:kinsoku/>
        <w:wordWrap/>
        <w:overflowPunct/>
        <w:topLinePunct w:val="0"/>
        <w:autoSpaceDE/>
        <w:autoSpaceDN/>
        <w:bidi w:val="0"/>
        <w:adjustRightInd/>
        <w:snapToGrid/>
        <w:spacing w:line="440" w:lineRule="exact"/>
        <w:ind w:left="480" w:leftChars="0" w:hanging="480" w:hangingChars="200"/>
        <w:textAlignment w:val="auto"/>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br w:type="textWrapping"/>
      </w:r>
      <w:r>
        <w:rPr>
          <w:rFonts w:hint="eastAsia" w:ascii="华文宋体" w:hAnsi="华文宋体" w:eastAsia="华文宋体" w:cs="华文宋体"/>
          <w:b/>
          <w:bCs/>
          <w:color w:val="auto"/>
          <w:sz w:val="24"/>
          <w:szCs w:val="24"/>
          <w:highlight w:val="none"/>
        </w:rPr>
        <w:t>八、其他说明</w:t>
      </w:r>
    </w:p>
    <w:p>
      <w:pPr>
        <w:keepNext w:val="0"/>
        <w:keepLines w:val="0"/>
        <w:pageBreakBefore w:val="0"/>
        <w:numPr>
          <w:ilvl w:val="0"/>
          <w:numId w:val="23"/>
        </w:numPr>
        <w:tabs>
          <w:tab w:val="left" w:pos="0"/>
        </w:tabs>
        <w:kinsoku/>
        <w:wordWrap/>
        <w:overflowPunct/>
        <w:topLinePunct w:val="0"/>
        <w:autoSpaceDE/>
        <w:autoSpaceDN/>
        <w:bidi w:val="0"/>
        <w:adjustRightInd/>
        <w:snapToGrid/>
        <w:spacing w:line="440" w:lineRule="exact"/>
        <w:ind w:left="0" w:leftChars="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快速更换电池、轮胎、雨刷、机油、灯泡等在30分钟内完成的免收工时费。</w:t>
      </w:r>
    </w:p>
    <w:p>
      <w:pPr>
        <w:keepNext w:val="0"/>
        <w:keepLines w:val="0"/>
        <w:pageBreakBefore w:val="0"/>
        <w:numPr>
          <w:ilvl w:val="0"/>
          <w:numId w:val="23"/>
        </w:numPr>
        <w:tabs>
          <w:tab w:val="left" w:pos="0"/>
        </w:tabs>
        <w:kinsoku/>
        <w:wordWrap/>
        <w:overflowPunct/>
        <w:topLinePunct w:val="0"/>
        <w:autoSpaceDE/>
        <w:autoSpaceDN/>
        <w:bidi w:val="0"/>
        <w:adjustRightInd/>
        <w:snapToGrid/>
        <w:spacing w:line="440" w:lineRule="exact"/>
        <w:ind w:left="0" w:leftChars="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响应供应商在维修车辆某一项目计收工时费时,如超过该项目最高工时限额,超过部分将视为无效。</w:t>
      </w:r>
    </w:p>
    <w:p>
      <w:pPr>
        <w:keepNext w:val="0"/>
        <w:keepLines w:val="0"/>
        <w:pageBreakBefore w:val="0"/>
        <w:numPr>
          <w:ilvl w:val="0"/>
          <w:numId w:val="23"/>
        </w:numPr>
        <w:tabs>
          <w:tab w:val="left" w:pos="0"/>
        </w:tabs>
        <w:kinsoku/>
        <w:wordWrap/>
        <w:overflowPunct/>
        <w:topLinePunct w:val="0"/>
        <w:autoSpaceDE/>
        <w:autoSpaceDN/>
        <w:bidi w:val="0"/>
        <w:adjustRightInd/>
        <w:snapToGrid/>
        <w:spacing w:line="440" w:lineRule="exact"/>
        <w:ind w:left="0" w:leftChars="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响应供应商在维修车辆某一项目时需辅以电脑仪器等现代检测设备检测诊断故障的，使用该设备不应计费。</w:t>
      </w:r>
    </w:p>
    <w:p>
      <w:pPr>
        <w:keepNext w:val="0"/>
        <w:keepLines w:val="0"/>
        <w:pageBreakBefore w:val="0"/>
        <w:numPr>
          <w:ilvl w:val="0"/>
          <w:numId w:val="23"/>
        </w:numPr>
        <w:tabs>
          <w:tab w:val="left" w:pos="0"/>
        </w:tabs>
        <w:kinsoku/>
        <w:wordWrap/>
        <w:overflowPunct/>
        <w:topLinePunct w:val="0"/>
        <w:autoSpaceDE/>
        <w:autoSpaceDN/>
        <w:bidi w:val="0"/>
        <w:adjustRightInd/>
        <w:snapToGrid/>
        <w:spacing w:line="440" w:lineRule="exact"/>
        <w:ind w:left="0" w:leftChars="0"/>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除采购文件提出的各项服务要求外，响应供应商可根据自身条件，说明可提供的其他优惠或特色服务，如列出属于免收人工费的维修项目。</w:t>
      </w:r>
    </w:p>
    <w:p>
      <w:pPr>
        <w:keepNext w:val="0"/>
        <w:keepLines w:val="0"/>
        <w:pageBreakBefore w:val="0"/>
        <w:numPr>
          <w:ilvl w:val="0"/>
          <w:numId w:val="23"/>
        </w:numPr>
        <w:kinsoku/>
        <w:wordWrap/>
        <w:overflowPunct/>
        <w:topLinePunct w:val="0"/>
        <w:autoSpaceDE/>
        <w:autoSpaceDN/>
        <w:bidi w:val="0"/>
        <w:adjustRightInd/>
        <w:snapToGrid/>
        <w:spacing w:line="440" w:lineRule="exact"/>
        <w:ind w:left="0" w:leftChars="0"/>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响应供应商提供的优惠或特色服务必须是符合国家相关规定与服务项目相关的内容。</w:t>
      </w:r>
    </w:p>
    <w:p>
      <w:pPr>
        <w:keepNext w:val="0"/>
        <w:keepLines w:val="0"/>
        <w:pageBreakBefore w:val="0"/>
        <w:kinsoku/>
        <w:wordWrap/>
        <w:overflowPunct/>
        <w:topLinePunct w:val="0"/>
        <w:autoSpaceDE/>
        <w:autoSpaceDN/>
        <w:bidi w:val="0"/>
        <w:adjustRightInd/>
        <w:snapToGrid/>
        <w:spacing w:line="440" w:lineRule="exact"/>
        <w:ind w:left="480" w:leftChars="0" w:hanging="480" w:hangingChars="200"/>
        <w:textAlignment w:val="auto"/>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br w:type="textWrapping"/>
      </w:r>
      <w:r>
        <w:rPr>
          <w:rFonts w:hint="eastAsia" w:ascii="华文宋体" w:hAnsi="华文宋体" w:eastAsia="华文宋体" w:cs="华文宋体"/>
          <w:b/>
          <w:bCs/>
          <w:color w:val="auto"/>
          <w:sz w:val="24"/>
          <w:szCs w:val="24"/>
          <w:highlight w:val="none"/>
        </w:rPr>
        <w:t>九、付款方式</w:t>
      </w:r>
    </w:p>
    <w:p>
      <w:pPr>
        <w:keepNext w:val="0"/>
        <w:keepLines w:val="0"/>
        <w:pageBreakBefore w:val="0"/>
        <w:numPr>
          <w:ilvl w:val="0"/>
          <w:numId w:val="24"/>
        </w:numPr>
        <w:kinsoku/>
        <w:wordWrap/>
        <w:overflowPunct/>
        <w:topLinePunct w:val="0"/>
        <w:autoSpaceDE/>
        <w:autoSpaceDN/>
        <w:bidi w:val="0"/>
        <w:adjustRightInd/>
        <w:snapToGrid/>
        <w:spacing w:line="440" w:lineRule="exact"/>
        <w:ind w:left="0" w:leftChars="0"/>
        <w:jc w:val="lef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成交供应商于消防车辆维修验收之日起5个工作日内向采购人提出维修服务情况明细清单，采购人审核通过后，按</w:t>
      </w:r>
      <w:r>
        <w:rPr>
          <w:rFonts w:hint="eastAsia" w:ascii="华文宋体" w:hAnsi="华文宋体" w:eastAsia="华文宋体" w:cs="华文宋体"/>
          <w:color w:val="auto"/>
          <w:kern w:val="0"/>
          <w:sz w:val="24"/>
          <w:szCs w:val="24"/>
          <w:highlight w:val="none"/>
          <w:u w:val="single"/>
        </w:rPr>
        <w:t xml:space="preserve">  月  </w:t>
      </w:r>
      <w:r>
        <w:rPr>
          <w:rFonts w:hint="eastAsia" w:ascii="华文宋体" w:hAnsi="华文宋体" w:eastAsia="华文宋体" w:cs="华文宋体"/>
          <w:color w:val="auto"/>
          <w:kern w:val="0"/>
          <w:sz w:val="24"/>
          <w:szCs w:val="24"/>
          <w:highlight w:val="none"/>
        </w:rPr>
        <w:t>办理支付手续。</w:t>
      </w:r>
    </w:p>
    <w:p>
      <w:pPr>
        <w:keepNext w:val="0"/>
        <w:keepLines w:val="0"/>
        <w:pageBreakBefore w:val="0"/>
        <w:numPr>
          <w:ilvl w:val="0"/>
          <w:numId w:val="24"/>
        </w:numPr>
        <w:kinsoku/>
        <w:wordWrap/>
        <w:overflowPunct/>
        <w:topLinePunct w:val="0"/>
        <w:autoSpaceDE/>
        <w:autoSpaceDN/>
        <w:bidi w:val="0"/>
        <w:adjustRightInd/>
        <w:snapToGrid/>
        <w:spacing w:line="440" w:lineRule="exact"/>
        <w:ind w:left="0" w:leftChars="0"/>
        <w:jc w:val="left"/>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成交供应商应在采购人办理支付手续前5个工作日内提供等额的正式发票给采购人，以便采购人及时办理支付手续。</w:t>
      </w:r>
    </w:p>
    <w:p>
      <w:pPr>
        <w:keepNext w:val="0"/>
        <w:keepLines w:val="0"/>
        <w:pageBreakBefore w:val="0"/>
        <w:numPr>
          <w:ilvl w:val="0"/>
          <w:numId w:val="24"/>
        </w:numPr>
        <w:kinsoku/>
        <w:wordWrap/>
        <w:overflowPunct/>
        <w:topLinePunct w:val="0"/>
        <w:autoSpaceDE/>
        <w:autoSpaceDN/>
        <w:bidi w:val="0"/>
        <w:adjustRightInd/>
        <w:snapToGrid/>
        <w:spacing w:line="440" w:lineRule="exact"/>
        <w:ind w:left="0" w:leftChars="0"/>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如维修金额较大、时间长的项目，双方可商议二次或二次以上付款。</w:t>
      </w:r>
      <w:r>
        <w:rPr>
          <w:rFonts w:hint="eastAsia" w:ascii="华文宋体" w:hAnsi="华文宋体" w:eastAsia="华文宋体" w:cs="华文宋体"/>
          <w:color w:val="auto"/>
          <w:kern w:val="0"/>
          <w:sz w:val="24"/>
          <w:szCs w:val="24"/>
          <w:highlight w:val="none"/>
        </w:rPr>
        <w:t>由于财政审批手续导致款项到账延迟、或</w:t>
      </w:r>
      <w:r>
        <w:rPr>
          <w:rFonts w:hint="eastAsia" w:ascii="华文宋体" w:hAnsi="华文宋体" w:eastAsia="华文宋体" w:cs="华文宋体"/>
          <w:color w:val="auto"/>
          <w:kern w:val="0"/>
          <w:sz w:val="24"/>
          <w:szCs w:val="24"/>
          <w:highlight w:val="none"/>
          <w:lang w:val="en-US" w:eastAsia="zh-CN"/>
        </w:rPr>
        <w:t>成交供应商</w:t>
      </w:r>
      <w:r>
        <w:rPr>
          <w:rFonts w:hint="eastAsia" w:ascii="华文宋体" w:hAnsi="华文宋体" w:eastAsia="华文宋体" w:cs="华文宋体"/>
          <w:color w:val="auto"/>
          <w:kern w:val="0"/>
          <w:sz w:val="24"/>
          <w:szCs w:val="24"/>
          <w:highlight w:val="none"/>
        </w:rPr>
        <w:t>未及时准确提供请款所需的相关文件导致</w:t>
      </w:r>
      <w:r>
        <w:rPr>
          <w:rFonts w:hint="eastAsia" w:ascii="华文宋体" w:hAnsi="华文宋体" w:eastAsia="华文宋体" w:cs="华文宋体"/>
          <w:color w:val="auto"/>
          <w:kern w:val="0"/>
          <w:sz w:val="24"/>
          <w:szCs w:val="24"/>
          <w:highlight w:val="none"/>
          <w:lang w:val="en-US" w:eastAsia="zh-CN"/>
        </w:rPr>
        <w:t>成交供应商</w:t>
      </w:r>
      <w:r>
        <w:rPr>
          <w:rFonts w:hint="eastAsia" w:ascii="华文宋体" w:hAnsi="华文宋体" w:eastAsia="华文宋体" w:cs="华文宋体"/>
          <w:color w:val="auto"/>
          <w:kern w:val="0"/>
          <w:sz w:val="24"/>
          <w:szCs w:val="24"/>
          <w:highlight w:val="none"/>
        </w:rPr>
        <w:t>收款延误的，</w:t>
      </w:r>
      <w:r>
        <w:rPr>
          <w:rFonts w:hint="eastAsia" w:ascii="华文宋体" w:hAnsi="华文宋体" w:eastAsia="华文宋体" w:cs="华文宋体"/>
          <w:color w:val="auto"/>
          <w:kern w:val="0"/>
          <w:sz w:val="24"/>
          <w:szCs w:val="24"/>
          <w:highlight w:val="none"/>
          <w:lang w:val="en-US" w:eastAsia="zh-CN"/>
        </w:rPr>
        <w:t>采购人</w:t>
      </w:r>
      <w:r>
        <w:rPr>
          <w:rFonts w:hint="eastAsia" w:ascii="华文宋体" w:hAnsi="华文宋体" w:eastAsia="华文宋体" w:cs="华文宋体"/>
          <w:color w:val="auto"/>
          <w:kern w:val="0"/>
          <w:sz w:val="24"/>
          <w:szCs w:val="24"/>
          <w:highlight w:val="none"/>
        </w:rPr>
        <w:t>不承担责任</w:t>
      </w:r>
      <w:r>
        <w:rPr>
          <w:rFonts w:hint="eastAsia" w:ascii="华文宋体" w:hAnsi="华文宋体" w:eastAsia="华文宋体" w:cs="华文宋体"/>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华文宋体" w:hAnsi="华文宋体" w:eastAsia="华文宋体" w:cs="华文宋体"/>
          <w:b/>
          <w:color w:val="auto"/>
          <w:sz w:val="24"/>
          <w:szCs w:val="24"/>
          <w:highlight w:val="none"/>
        </w:rPr>
      </w:pPr>
      <w:r>
        <w:rPr>
          <w:rFonts w:hint="eastAsia" w:ascii="华文宋体" w:hAnsi="华文宋体" w:eastAsia="华文宋体" w:cs="华文宋体"/>
          <w:b/>
          <w:color w:val="auto"/>
          <w:sz w:val="21"/>
          <w:szCs w:val="21"/>
          <w:highlight w:val="none"/>
        </w:rPr>
        <w:br w:type="page"/>
      </w:r>
      <w:r>
        <w:rPr>
          <w:rFonts w:hint="eastAsia" w:ascii="华文宋体" w:hAnsi="华文宋体" w:eastAsia="华文宋体" w:cs="华文宋体"/>
          <w:b/>
          <w:color w:val="auto"/>
          <w:sz w:val="24"/>
          <w:szCs w:val="24"/>
          <w:highlight w:val="none"/>
        </w:rPr>
        <w:t>附件1</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华文宋体" w:hAnsi="华文宋体" w:eastAsia="华文宋体" w:cs="华文宋体"/>
          <w:b/>
          <w:color w:val="auto"/>
          <w:sz w:val="24"/>
          <w:szCs w:val="24"/>
          <w:highlight w:val="none"/>
        </w:rPr>
      </w:pPr>
      <w:r>
        <w:rPr>
          <w:rFonts w:hint="eastAsia" w:ascii="华文宋体" w:hAnsi="华文宋体" w:eastAsia="华文宋体" w:cs="华文宋体"/>
          <w:b/>
          <w:color w:val="auto"/>
          <w:sz w:val="24"/>
          <w:szCs w:val="24"/>
          <w:highlight w:val="none"/>
        </w:rPr>
        <w:t>消防车维修项目工时费标准价明细表</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 xml:space="preserve">                                          </w:t>
      </w:r>
      <w:r>
        <w:rPr>
          <w:rFonts w:hint="eastAsia" w:ascii="华文宋体" w:hAnsi="华文宋体" w:cs="华文宋体"/>
          <w:color w:val="auto"/>
          <w:sz w:val="24"/>
          <w:szCs w:val="24"/>
          <w:highlight w:val="none"/>
          <w:lang w:val="en-US" w:eastAsia="zh-CN"/>
        </w:rPr>
        <w:t xml:space="preserve">        </w:t>
      </w:r>
      <w:r>
        <w:rPr>
          <w:rFonts w:hint="eastAsia" w:ascii="华文宋体" w:hAnsi="华文宋体" w:eastAsia="华文宋体" w:cs="华文宋体"/>
          <w:color w:val="auto"/>
          <w:sz w:val="24"/>
          <w:szCs w:val="24"/>
          <w:highlight w:val="none"/>
        </w:rPr>
        <w:t xml:space="preserve">   （货币单位：人民币/元）</w:t>
      </w:r>
    </w:p>
    <w:tbl>
      <w:tblPr>
        <w:tblStyle w:val="30"/>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999"/>
        <w:gridCol w:w="3226"/>
        <w:gridCol w:w="1875"/>
        <w:gridCol w:w="883"/>
        <w:gridCol w:w="10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restart"/>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类 别</w:t>
            </w:r>
          </w:p>
        </w:tc>
        <w:tc>
          <w:tcPr>
            <w:tcW w:w="999" w:type="dxa"/>
            <w:vMerge w:val="restart"/>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编 号</w:t>
            </w:r>
          </w:p>
        </w:tc>
        <w:tc>
          <w:tcPr>
            <w:tcW w:w="3226" w:type="dxa"/>
            <w:vMerge w:val="restart"/>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维修项目</w:t>
            </w:r>
          </w:p>
        </w:tc>
        <w:tc>
          <w:tcPr>
            <w:tcW w:w="3793" w:type="dxa"/>
            <w:gridSpan w:val="3"/>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xml:space="preserve"> 工时费标准</w:t>
            </w:r>
          </w:p>
        </w:tc>
        <w:tc>
          <w:tcPr>
            <w:tcW w:w="720" w:type="dxa"/>
            <w:vMerge w:val="restart"/>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3226"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1875" w:type="dxa"/>
            <w:noWrap w:val="0"/>
            <w:vAlign w:val="center"/>
          </w:tcPr>
          <w:p>
            <w:pPr>
              <w:pStyle w:val="77"/>
              <w:spacing w:line="360" w:lineRule="auto"/>
              <w:jc w:val="lef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奔驰、曼、豪士科、大功率 、齐格勒、各消防厂家上装</w:t>
            </w:r>
          </w:p>
        </w:tc>
        <w:tc>
          <w:tcPr>
            <w:tcW w:w="883" w:type="dxa"/>
            <w:noWrap w:val="0"/>
            <w:vAlign w:val="center"/>
          </w:tcPr>
          <w:p>
            <w:pPr>
              <w:pStyle w:val="77"/>
              <w:spacing w:line="360" w:lineRule="auto"/>
              <w:jc w:val="lef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xml:space="preserve">东风日产 </w:t>
            </w:r>
          </w:p>
        </w:tc>
        <w:tc>
          <w:tcPr>
            <w:tcW w:w="1035" w:type="dxa"/>
            <w:noWrap w:val="0"/>
            <w:vAlign w:val="center"/>
          </w:tcPr>
          <w:p>
            <w:pPr>
              <w:pStyle w:val="77"/>
              <w:spacing w:line="360" w:lineRule="auto"/>
              <w:jc w:val="lef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五十铃、八吨以下</w:t>
            </w:r>
          </w:p>
        </w:tc>
        <w:tc>
          <w:tcPr>
            <w:tcW w:w="720"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932" w:type="dxa"/>
            <w:gridSpan w:val="6"/>
            <w:noWrap w:val="0"/>
            <w:vAlign w:val="bottom"/>
          </w:tcPr>
          <w:p>
            <w:pPr>
              <w:pStyle w:val="77"/>
              <w:spacing w:line="360" w:lineRule="auto"/>
              <w:jc w:val="center"/>
              <w:rPr>
                <w:rFonts w:hint="eastAsia" w:ascii="华文宋体" w:hAnsi="华文宋体" w:eastAsia="华文宋体" w:cs="华文宋体"/>
                <w:b/>
                <w:bCs/>
                <w:color w:val="auto"/>
                <w:sz w:val="21"/>
                <w:szCs w:val="21"/>
                <w:highlight w:val="none"/>
              </w:rPr>
            </w:pPr>
            <w:r>
              <w:rPr>
                <w:rFonts w:hint="eastAsia" w:ascii="华文宋体" w:hAnsi="华文宋体" w:eastAsia="华文宋体" w:cs="华文宋体"/>
                <w:b/>
                <w:bCs/>
                <w:color w:val="auto"/>
                <w:sz w:val="21"/>
                <w:szCs w:val="21"/>
                <w:highlight w:val="none"/>
              </w:rPr>
              <w:t>维修项目I</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restart"/>
            <w:noWrap w:val="0"/>
            <w:textDirection w:val="tbRlV"/>
            <w:vAlign w:val="top"/>
          </w:tcPr>
          <w:p>
            <w:pPr>
              <w:pStyle w:val="77"/>
              <w:spacing w:line="360" w:lineRule="auto"/>
              <w:ind w:left="113" w:right="113"/>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整车保养</w:t>
            </w: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一级维护</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二级维护</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更换机油，机油滤清器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更换波箱油（手动）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260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保养刹车(单桥)</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保养冷却系统</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保养空调系统（不含加注雪种）</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保养转向系统</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清洗发动机外表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932" w:type="dxa"/>
            <w:gridSpan w:val="6"/>
            <w:noWrap w:val="0"/>
            <w:vAlign w:val="bottom"/>
          </w:tcPr>
          <w:p>
            <w:pPr>
              <w:pStyle w:val="77"/>
              <w:spacing w:line="360" w:lineRule="auto"/>
              <w:jc w:val="center"/>
              <w:rPr>
                <w:rFonts w:hint="eastAsia" w:ascii="华文宋体" w:hAnsi="华文宋体" w:eastAsia="华文宋体" w:cs="华文宋体"/>
                <w:b/>
                <w:bCs/>
                <w:color w:val="auto"/>
                <w:sz w:val="21"/>
                <w:szCs w:val="21"/>
                <w:highlight w:val="none"/>
              </w:rPr>
            </w:pPr>
            <w:r>
              <w:rPr>
                <w:rFonts w:hint="eastAsia" w:ascii="华文宋体" w:hAnsi="华文宋体" w:eastAsia="华文宋体" w:cs="华文宋体"/>
                <w:b/>
                <w:bCs/>
                <w:color w:val="auto"/>
                <w:sz w:val="21"/>
                <w:szCs w:val="21"/>
                <w:highlight w:val="none"/>
              </w:rPr>
              <w:t>维修项目II</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14" w:type="dxa"/>
            <w:vMerge w:val="restart"/>
            <w:noWrap w:val="0"/>
            <w:textDirection w:val="tbRlV"/>
            <w:vAlign w:val="top"/>
          </w:tcPr>
          <w:p>
            <w:pPr>
              <w:pStyle w:val="77"/>
              <w:spacing w:line="360" w:lineRule="auto"/>
              <w:ind w:left="113" w:right="113"/>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发动机</w:t>
            </w: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发动机大修（含吊装发动机）</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吊装发动机总成</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更换发动机左侧支承胶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更换发动机右侧支承胶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更换发动机后支承胶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p>
        </w:tc>
        <w:tc>
          <w:tcPr>
            <w:tcW w:w="999"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206</w:t>
            </w:r>
          </w:p>
        </w:tc>
        <w:tc>
          <w:tcPr>
            <w:tcW w:w="3226" w:type="dxa"/>
            <w:noWrap w:val="0"/>
            <w:vAlign w:val="center"/>
          </w:tcPr>
          <w:p>
            <w:pPr>
              <w:pStyle w:val="77"/>
              <w:spacing w:line="360" w:lineRule="auto"/>
              <w:jc w:val="lef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清洗、调校喷油嘴（全车套）及节气门（6缸）</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720"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检修发动机燃油喷射系统</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883" w:type="dxa"/>
            <w:noWrap w:val="0"/>
            <w:vAlign w:val="bottom"/>
          </w:tcPr>
          <w:p>
            <w:pPr>
              <w:pStyle w:val="77"/>
              <w:spacing w:line="360" w:lineRule="auto"/>
              <w:ind w:right="120"/>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拆装燃油箱</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更换防冻液</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210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更换水泵及防冻液</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211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拆装水箱</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212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更换水道闷头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213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更换旁通水管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214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更换上水管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215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更换下水管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216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更换冷却风扇马达</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217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拆装油底壳（不含吊装发动机）</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218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更换曲轴后油封（含吊装波箱）</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219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更换曲轴前油封（不含吊装发动机）</w:t>
            </w:r>
          </w:p>
        </w:tc>
        <w:tc>
          <w:tcPr>
            <w:tcW w:w="1875" w:type="dxa"/>
            <w:noWrap w:val="0"/>
            <w:vAlign w:val="center"/>
          </w:tcPr>
          <w:p>
            <w:pPr>
              <w:pStyle w:val="77"/>
              <w:spacing w:line="360" w:lineRule="auto"/>
              <w:ind w:right="120"/>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220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焊补排气管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221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更换排气管吊胶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222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拆装、更换排气管前段</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223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拆装、更换排气管第二段</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224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拆装、更换排气管第三段</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225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拆装、更换排气管尾段</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226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拆装或更换空滤器总成</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227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更换发电机皮带</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228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更换空调皮带</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229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更换气缸垫（6缸）</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拆装气门室盖</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更换油门拉线</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检修起动机</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检修发电机</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更换节温器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更换节温器盖</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更换连接水管（水泵到节温器）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更换起动机总成</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更换发电机总成</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更换发动机缸盖（6缸）</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240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更换机油泵总成（不含吊装发动机）</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241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更换曲轴皮带轮</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242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拆装处理排气管前端接口漏气</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243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拆装进气岐管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244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拆装排气管岐管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320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245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更换风扇偶合器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246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清洗燃油箱</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247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拆装高压油泵（柴油）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248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清洗曲轴箱机油集滤器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249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研磨气门（支）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换发动机全套活塞环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2800</w:t>
            </w:r>
          </w:p>
        </w:tc>
        <w:tc>
          <w:tcPr>
            <w:tcW w:w="883" w:type="dxa"/>
            <w:noWrap w:val="0"/>
            <w:vAlign w:val="bottom"/>
          </w:tcPr>
          <w:p>
            <w:pPr>
              <w:pStyle w:val="77"/>
              <w:spacing w:line="360" w:lineRule="auto"/>
              <w:ind w:right="120"/>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换连杆轴承</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2800</w:t>
            </w:r>
          </w:p>
        </w:tc>
        <w:tc>
          <w:tcPr>
            <w:tcW w:w="883" w:type="dxa"/>
            <w:noWrap w:val="0"/>
            <w:vAlign w:val="bottom"/>
          </w:tcPr>
          <w:p>
            <w:pPr>
              <w:pStyle w:val="77"/>
              <w:spacing w:line="360" w:lineRule="auto"/>
              <w:ind w:right="120"/>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检修空气压缩机</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换机油感应器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检修离合器液压总泵</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免拆清洗引擎油路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换发动机活塞、连杆</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更换正时齿轮</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换机油感应器、测量机油压力</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检修气门漏气（6缸）</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1600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260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换柴油机气缸垫</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1600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270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清洗更换燃油滤清器（外置式）</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271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更换检查水温感应器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272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检修更换机油格座</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273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镶气门座（个）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274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油电路保养</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275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发动机电脑检测</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276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调怠速</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277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检修曲轴通风装置</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278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清洗空气滤清器或更换滤芯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jc w:val="right"/>
              <w:rPr>
                <w:rFonts w:hint="eastAsia" w:ascii="华文宋体" w:hAnsi="华文宋体" w:eastAsia="华文宋体" w:cs="华文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279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更换油箱</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清理发动机积碳（6缸）</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更换飞轮齿（不含吊装波箱）</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282　</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清洗或更换节气门阀体</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283　</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更换燃油蒸发控制装置</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检测、清洗废气再循环（EGR）系统</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285　</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免拆清洗发动机气路系统</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286　</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免拆清洗曲轴箱</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拆洗三元催化器（不含吊装发动机）</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440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360</w:t>
            </w:r>
          </w:p>
        </w:tc>
        <w:tc>
          <w:tcPr>
            <w:tcW w:w="720" w:type="dxa"/>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更换涡轮增压器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拆装清洗柴油喷油嘴（支）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noWrap w:val="0"/>
            <w:textDirection w:val="tbRlV"/>
            <w:vAlign w:val="top"/>
          </w:tcPr>
          <w:p>
            <w:pPr>
              <w:pStyle w:val="77"/>
              <w:spacing w:line="360" w:lineRule="auto"/>
              <w:ind w:left="113" w:right="113"/>
              <w:jc w:val="center"/>
              <w:rPr>
                <w:rFonts w:hint="eastAsia" w:ascii="华文宋体" w:hAnsi="华文宋体" w:eastAsia="华文宋体" w:cs="华文宋体"/>
                <w:bCs/>
                <w:color w:val="auto"/>
                <w:sz w:val="21"/>
                <w:szCs w:val="21"/>
                <w:highlight w:val="none"/>
              </w:rPr>
            </w:pPr>
          </w:p>
        </w:tc>
        <w:tc>
          <w:tcPr>
            <w:tcW w:w="8018" w:type="dxa"/>
            <w:gridSpan w:val="5"/>
            <w:noWrap w:val="0"/>
            <w:vAlign w:val="bottom"/>
          </w:tcPr>
          <w:p>
            <w:pPr>
              <w:pStyle w:val="77"/>
              <w:spacing w:line="360" w:lineRule="auto"/>
              <w:jc w:val="center"/>
              <w:rPr>
                <w:rFonts w:hint="eastAsia" w:ascii="华文宋体" w:hAnsi="华文宋体" w:eastAsia="华文宋体" w:cs="华文宋体"/>
                <w:b/>
                <w:bCs/>
                <w:color w:val="auto"/>
                <w:sz w:val="21"/>
                <w:szCs w:val="21"/>
                <w:highlight w:val="none"/>
              </w:rPr>
            </w:pPr>
            <w:r>
              <w:rPr>
                <w:rFonts w:hint="eastAsia" w:ascii="华文宋体" w:hAnsi="华文宋体" w:eastAsia="华文宋体" w:cs="华文宋体"/>
                <w:b/>
                <w:bCs/>
                <w:color w:val="auto"/>
                <w:sz w:val="21"/>
                <w:szCs w:val="21"/>
                <w:highlight w:val="none"/>
              </w:rPr>
              <w:t>维修项目III</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restart"/>
            <w:noWrap w:val="0"/>
            <w:textDirection w:val="tbRlV"/>
            <w:vAlign w:val="top"/>
          </w:tcPr>
          <w:p>
            <w:pPr>
              <w:pStyle w:val="77"/>
              <w:spacing w:line="360" w:lineRule="auto"/>
              <w:ind w:left="113" w:right="113"/>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xml:space="preserve">传动系统 </w:t>
            </w: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更换离合器片</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维修或保养离合器总泵</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维修或保养离合器分泵</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分解、修理差速器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分解、修理手动变速箱</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吊装变速箱总成</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更换波箱吊胶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更换或润滑波箱换挡拉索</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换油箱支架胶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310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拆装后桥</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311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调校离合器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jc w:val="right"/>
              <w:rPr>
                <w:rFonts w:hint="eastAsia" w:ascii="华文宋体" w:hAnsi="华文宋体" w:eastAsia="华文宋体" w:cs="华文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312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换传动轴万向节总成</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313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换差速器油封</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314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换半轴油封（单边）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315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更换轮毂轴承（轮）</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316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检修挂档机构</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317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检修变速箱操纵机构</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318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更换变速箱前油封</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319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更换变速箱后油封</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320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换离合器分离轴承</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321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检修后轮壳油封漏油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322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检修波箱液压油路板</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323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更换米表线</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324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更换轮胎及动平衡（条）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325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更换传动轴吊胶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326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更换差速器油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327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外调校手刹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328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更换变速杆</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jc w:val="right"/>
              <w:rPr>
                <w:rFonts w:hint="eastAsia" w:ascii="华文宋体" w:hAnsi="华文宋体" w:eastAsia="华文宋体" w:cs="华文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932" w:type="dxa"/>
            <w:gridSpan w:val="6"/>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
                <w:bCs/>
                <w:color w:val="auto"/>
                <w:sz w:val="21"/>
                <w:szCs w:val="21"/>
                <w:highlight w:val="none"/>
              </w:rPr>
              <w:t>维修项目Ⅳ</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4" w:type="dxa"/>
            <w:vMerge w:val="restart"/>
            <w:noWrap w:val="0"/>
            <w:textDirection w:val="tbRlV"/>
            <w:vAlign w:val="top"/>
          </w:tcPr>
          <w:p>
            <w:pPr>
              <w:pStyle w:val="77"/>
              <w:spacing w:line="360" w:lineRule="auto"/>
              <w:ind w:left="113" w:right="113"/>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悬挂系统</w:t>
            </w: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更换前钢板（单边）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更换后钢板</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更换轮胎螺丝（轮）</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更换前减震器（支）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更换后减震器（支）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更换前轮避震器座胶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更换前轮定位拉杆</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更换后钢板销（单边）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更换前钢板销（单边）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410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更换平衡杆胶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411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拆装平衡杆</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412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拆装或更换转向节（单边）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ind w:right="120"/>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413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拆装前轮轴承（单边）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414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拆装后轮轴承（单边）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720" w:type="dxa"/>
            <w:noWrap w:val="0"/>
            <w:vAlign w:val="center"/>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415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更换轮胎</w:t>
            </w:r>
          </w:p>
        </w:tc>
        <w:tc>
          <w:tcPr>
            <w:tcW w:w="1875" w:type="dxa"/>
            <w:noWrap w:val="0"/>
            <w:vAlign w:val="bottom"/>
          </w:tcPr>
          <w:p>
            <w:pPr>
              <w:pStyle w:val="77"/>
              <w:spacing w:line="360" w:lineRule="auto"/>
              <w:ind w:right="120"/>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416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更换发动机后横梁</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417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换普通前避震器（支）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418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换普通后避震器（支）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419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检修铆前钢板支架座</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420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检修铆后钢板支架座</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421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换转向节主销</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435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更换钢板销及衬套</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437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更换前桥</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438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更换后桥</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1600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439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调整转向角度</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440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检修横直拉杆</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446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更换前轮油封（轮）</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447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更换后轮油封（轮）</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932" w:type="dxa"/>
            <w:gridSpan w:val="6"/>
            <w:noWrap w:val="0"/>
            <w:vAlign w:val="bottom"/>
          </w:tcPr>
          <w:p>
            <w:pPr>
              <w:pStyle w:val="77"/>
              <w:spacing w:line="360" w:lineRule="auto"/>
              <w:jc w:val="center"/>
              <w:rPr>
                <w:rFonts w:hint="eastAsia" w:ascii="华文宋体" w:hAnsi="华文宋体" w:eastAsia="华文宋体" w:cs="华文宋体"/>
                <w:b/>
                <w:bCs/>
                <w:color w:val="auto"/>
                <w:sz w:val="21"/>
                <w:szCs w:val="21"/>
                <w:highlight w:val="none"/>
              </w:rPr>
            </w:pPr>
            <w:r>
              <w:rPr>
                <w:rFonts w:hint="eastAsia" w:ascii="华文宋体" w:hAnsi="华文宋体" w:eastAsia="华文宋体" w:cs="华文宋体"/>
                <w:b/>
                <w:bCs/>
                <w:color w:val="auto"/>
                <w:sz w:val="21"/>
                <w:szCs w:val="21"/>
                <w:highlight w:val="none"/>
              </w:rPr>
              <w:t>维修项目V</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restart"/>
            <w:noWrap w:val="0"/>
            <w:textDirection w:val="tbRlV"/>
            <w:vAlign w:val="top"/>
          </w:tcPr>
          <w:p>
            <w:pPr>
              <w:pStyle w:val="77"/>
              <w:spacing w:line="360" w:lineRule="auto"/>
              <w:ind w:left="113" w:right="113"/>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制动系统</w:t>
            </w: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　</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检修四轮刹车(个)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更换前制动片</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更换后制动片（碟刹）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更换后制动蹄（鼓刹）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更换手刹片</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更换后制动鼓</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光整制动盘（个）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更换前制动盘</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更换后制动盘</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更换制动踏板</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510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镗制动鼓（个）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511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检修制动总泵(不含电脑检测)</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512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更换制动总泵（不含数据）</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513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检修制动分泵（碟）（个）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720"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569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更换制动分泵（前）（个）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515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更换ABS执行器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516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更换ABS转速传感器（个）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517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更换车轮制动软管（条）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518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检修ABS系统</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932" w:type="dxa"/>
            <w:gridSpan w:val="6"/>
            <w:noWrap w:val="0"/>
            <w:vAlign w:val="bottom"/>
          </w:tcPr>
          <w:p>
            <w:pPr>
              <w:pStyle w:val="77"/>
              <w:spacing w:line="360" w:lineRule="auto"/>
              <w:jc w:val="center"/>
              <w:rPr>
                <w:rFonts w:hint="eastAsia" w:ascii="华文宋体" w:hAnsi="华文宋体" w:eastAsia="华文宋体" w:cs="华文宋体"/>
                <w:b/>
                <w:bCs/>
                <w:color w:val="auto"/>
                <w:sz w:val="21"/>
                <w:szCs w:val="21"/>
                <w:highlight w:val="none"/>
              </w:rPr>
            </w:pPr>
            <w:r>
              <w:rPr>
                <w:rFonts w:hint="eastAsia" w:ascii="华文宋体" w:hAnsi="华文宋体" w:eastAsia="华文宋体" w:cs="华文宋体"/>
                <w:b/>
                <w:bCs/>
                <w:color w:val="auto"/>
                <w:sz w:val="21"/>
                <w:szCs w:val="21"/>
                <w:highlight w:val="none"/>
              </w:rPr>
              <w:t>维修项目VI</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restart"/>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前束检测、调整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center"/>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更换方向机总成</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center"/>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大修方向机</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更换方向助力油泵</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拆装转向横拉杆</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拆装调整方向盘</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更换方向机油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调整方向盘间隙</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更换助力泵油壶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610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换方向机高低压油管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611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更换方向盘</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612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换转向机十字轴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613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换方向锁</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932" w:type="dxa"/>
            <w:gridSpan w:val="6"/>
            <w:noWrap w:val="0"/>
            <w:vAlign w:val="bottom"/>
          </w:tcPr>
          <w:p>
            <w:pPr>
              <w:pStyle w:val="77"/>
              <w:spacing w:line="360" w:lineRule="auto"/>
              <w:jc w:val="center"/>
              <w:rPr>
                <w:rFonts w:hint="eastAsia" w:ascii="华文宋体" w:hAnsi="华文宋体" w:eastAsia="华文宋体" w:cs="华文宋体"/>
                <w:b/>
                <w:bCs/>
                <w:color w:val="auto"/>
                <w:sz w:val="21"/>
                <w:szCs w:val="21"/>
                <w:highlight w:val="none"/>
              </w:rPr>
            </w:pPr>
            <w:r>
              <w:rPr>
                <w:rFonts w:hint="eastAsia" w:ascii="华文宋体" w:hAnsi="华文宋体" w:eastAsia="华文宋体" w:cs="华文宋体"/>
                <w:b/>
                <w:bCs/>
                <w:color w:val="auto"/>
                <w:sz w:val="21"/>
                <w:szCs w:val="21"/>
                <w:highlight w:val="none"/>
              </w:rPr>
              <w:t>维修项目VII</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4" w:type="dxa"/>
            <w:vMerge w:val="restart"/>
            <w:noWrap w:val="0"/>
            <w:textDirection w:val="tbRlV"/>
            <w:vAlign w:val="top"/>
          </w:tcPr>
          <w:p>
            <w:pPr>
              <w:pStyle w:val="77"/>
              <w:spacing w:line="360" w:lineRule="auto"/>
              <w:ind w:left="113" w:right="113"/>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空调系统</w:t>
            </w: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补充雪种</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更换电磁离合器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更换压缩机</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更换冷凝器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清洁或更换蒸发器（不含拆装仪表台）</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更换暖水开关阀（不含拆装仪表台）</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更换风量调节开关（不含拆装仪表台）</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更换冷暖调节开关或拉索（不含拆装仪表台）</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更换A/C开关（不含拆装仪表台）</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710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拆装装空调鼓风机（不含拆装仪表台）</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711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拆装空调进气滤网</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center"/>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center"/>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712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检修电子扇电路</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713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检修空调电路（普通）（不含拆装仪表台）</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714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空调系统大修（单蒸发器）（不含拆装仪表台）</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715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换雪种瓶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716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抽真空加雪种</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717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换高低压管（条）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718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检查更换空调继电器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719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清洗冷气风口、管道（不含拆装仪表台）</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160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720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排除蒸发箱外水道堵塞</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721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更换膨胀阀（不含拆装仪表台）</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722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拆装更换冷气温度感应器（不含拆装仪表台）</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723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更换空调保险阀</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160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724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检修空调电路（自动）（不含拆装仪表台）</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725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检修暖气系统（不含拆装仪表台）</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726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拆装仪表台</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727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清洗蒸发器</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932" w:type="dxa"/>
            <w:gridSpan w:val="6"/>
            <w:noWrap w:val="0"/>
            <w:vAlign w:val="bottom"/>
          </w:tcPr>
          <w:p>
            <w:pPr>
              <w:pStyle w:val="77"/>
              <w:spacing w:line="360" w:lineRule="auto"/>
              <w:jc w:val="center"/>
              <w:rPr>
                <w:rFonts w:hint="eastAsia" w:ascii="华文宋体" w:hAnsi="华文宋体" w:eastAsia="华文宋体" w:cs="华文宋体"/>
                <w:b/>
                <w:bCs/>
                <w:color w:val="auto"/>
                <w:sz w:val="21"/>
                <w:szCs w:val="21"/>
                <w:highlight w:val="none"/>
              </w:rPr>
            </w:pPr>
            <w:r>
              <w:rPr>
                <w:rFonts w:hint="eastAsia" w:ascii="华文宋体" w:hAnsi="华文宋体" w:eastAsia="华文宋体" w:cs="华文宋体"/>
                <w:b/>
                <w:bCs/>
                <w:color w:val="auto"/>
                <w:sz w:val="21"/>
                <w:szCs w:val="21"/>
                <w:highlight w:val="none"/>
              </w:rPr>
              <w:t>维修项目VIII</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restart"/>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电器系统</w:t>
            </w: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检修里程表线路（不带电脑控制）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160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检修水温表线路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160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检修转速表线路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160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检修燃油表线路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160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检修机油压力线路(机油灯亮)</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160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检修充电指示灯线路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160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检修全车灯光线路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调整大灯位置及光轴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拆修雨刮连杆机构（不含拆装仪表台）</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810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检修雨刮喷水机构</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811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更换雨刮喷水壶或喷水电机</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812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更换电池（个）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813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更换前门音响喇叭（个）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814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更换后音响喇叭（个）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815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拆装音响主机</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816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更换电喇叭</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817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更换升降器总开关</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818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更换前门升降器或马达（单门）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819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更换后门升降器或马达（单门）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820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更换转向组合开关</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821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更换前大灯或大灯座（只）（不含拆保险杠）</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822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更换前角灯（只）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823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更换后尾灯（只）</w:t>
            </w:r>
          </w:p>
        </w:tc>
        <w:tc>
          <w:tcPr>
            <w:tcW w:w="1875" w:type="dxa"/>
            <w:noWrap w:val="0"/>
            <w:vAlign w:val="top"/>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top"/>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top"/>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824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更换后高位制动灯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825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更换前保险杠灯（只）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826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检修、更换前射灯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827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检修手刹灯线路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828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更换仪表板照明灯泡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829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全车线路大修</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1600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830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消除故障码</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831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更换室内倒车镜</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832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换刮雨马达（不含拆装仪表台）</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833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换继电器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834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换保险盒（不含线束更换）</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835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检修电子油门故障</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836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检修车速传感器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837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更换外把手</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838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更换档泥板</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839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检修电动车窗电路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840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检修中央门锁</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841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拆装更换门灯感应器（个）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842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检修起动线路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843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更换电池头（正）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844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更换电池头（负）</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845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发动机保养电脑归零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846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检修CD收放机外接电路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847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检修电子仪表板电路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848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检修更换雾灯（一对）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849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更换雨刮臂</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850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检修倒车灯电路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851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检修雨刮电路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852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检修喇叭电路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853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安装车尾静电线</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932" w:type="dxa"/>
            <w:gridSpan w:val="6"/>
            <w:noWrap w:val="0"/>
            <w:vAlign w:val="bottom"/>
          </w:tcPr>
          <w:p>
            <w:pPr>
              <w:pStyle w:val="77"/>
              <w:spacing w:line="360" w:lineRule="auto"/>
              <w:jc w:val="center"/>
              <w:rPr>
                <w:rFonts w:hint="eastAsia" w:ascii="华文宋体" w:hAnsi="华文宋体" w:eastAsia="华文宋体" w:cs="华文宋体"/>
                <w:b/>
                <w:bCs/>
                <w:color w:val="auto"/>
                <w:sz w:val="21"/>
                <w:szCs w:val="21"/>
                <w:highlight w:val="none"/>
              </w:rPr>
            </w:pPr>
            <w:r>
              <w:rPr>
                <w:rFonts w:hint="eastAsia" w:ascii="华文宋体" w:hAnsi="华文宋体" w:eastAsia="华文宋体" w:cs="华文宋体"/>
                <w:b/>
                <w:bCs/>
                <w:color w:val="auto"/>
                <w:sz w:val="21"/>
                <w:szCs w:val="21"/>
                <w:highlight w:val="none"/>
              </w:rPr>
              <w:t>维修项目IX</w:t>
            </w:r>
          </w:p>
        </w:tc>
        <w:tc>
          <w:tcPr>
            <w:tcW w:w="720" w:type="dxa"/>
            <w:noWrap w:val="0"/>
            <w:vAlign w:val="bottom"/>
          </w:tcPr>
          <w:p>
            <w:pPr>
              <w:pStyle w:val="77"/>
              <w:spacing w:line="360" w:lineRule="auto"/>
              <w:rPr>
                <w:rFonts w:hint="eastAsia" w:ascii="华文宋体" w:hAnsi="华文宋体" w:eastAsia="华文宋体" w:cs="华文宋体"/>
                <w:b/>
                <w:bCs/>
                <w:color w:val="auto"/>
                <w:sz w:val="21"/>
                <w:szCs w:val="21"/>
                <w:highlight w:val="none"/>
              </w:rPr>
            </w:pPr>
            <w:r>
              <w:rPr>
                <w:rFonts w:hint="eastAsia" w:ascii="华文宋体" w:hAnsi="华文宋体" w:eastAsia="华文宋体" w:cs="华文宋体"/>
                <w:b/>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restart"/>
            <w:noWrap w:val="0"/>
            <w:textDirection w:val="tbRlV"/>
            <w:vAlign w:val="top"/>
          </w:tcPr>
          <w:p>
            <w:pPr>
              <w:pStyle w:val="77"/>
              <w:spacing w:line="360" w:lineRule="auto"/>
              <w:ind w:left="113" w:right="113"/>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车身部分</w:t>
            </w: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拆装车身饰件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更换前中网</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更换前或后档风玻璃</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更换前盖锁并调整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更换前盖拉索拉手</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更换倒车镜（单边）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更换前翼子板（单边）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更换后翼子板（单边））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更换前车门（个）（含相关附件拆装）</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910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更换前门玻璃（件）（含相关附件拆装）</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911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拆装前门内饰板（件）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912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拆装后门饰板（件）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913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更换车身前立柱（单边）（含相关附件拆装）</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1600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914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更换车身中立柱（单边）（含相关附件拆装）</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915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更换前门锁机并调整（个）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916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更换后门锁机并调整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917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更换落水槽饰条（条）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918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更换前门玻璃绒槽（条）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919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更换后门玻璃绒槽</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920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更换后门玻璃（件）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921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更换前保险杠</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922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更换后保险杠</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923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更换全车标志</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924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更换后门玻璃外压条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925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更换前门玻璃外压条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926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修复校正大梁（不含拆装其他附件）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927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更换车身地毯（不含拆装仪表台）</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928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更换车顶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929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拆装车内天花</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930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更换油箱开启盖</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931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更换水箱下支架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932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更换车门防水胶条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933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更换车门外拉手</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935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更换车门内拉手</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936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更换后车门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937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拆装前排座椅（个）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938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拆装后排座椅及靠背</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939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更换前轮内挡泥衬胶（单边）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940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更换后轮内挡泥补胶（单边）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941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更换车门防撞胶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942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更换后保险杠内支架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943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更换前叶子板内托（左或右）</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944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更换后叶子板内托（左或右）</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945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更换门柱外饰铰</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946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更换前、后门门铰（对）</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947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更换前大灯（个）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948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单门修复</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949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前杠修复</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950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前叶子板修复</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951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修玻璃升降器手动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952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修玻璃升降器电动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953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换单门锁芯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954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更换尾门撑杆</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955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检修排气管、消声器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956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电池架烧焊固定</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957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检修车头盖锁</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958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后尾板修复</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959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车身大修（单驾驶室）</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960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前玻璃框锈蚀修复</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961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车顶沙板修复</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962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更换安全带（条）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963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调校车门（个）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964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调校尾门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965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拆装全车附件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966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修复备胎架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967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调校门锁位（门）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968</w:t>
            </w:r>
          </w:p>
        </w:tc>
        <w:tc>
          <w:tcPr>
            <w:tcW w:w="3226" w:type="dxa"/>
            <w:noWrap w:val="0"/>
            <w:vAlign w:val="center"/>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更换外把手</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969</w:t>
            </w:r>
          </w:p>
        </w:tc>
        <w:tc>
          <w:tcPr>
            <w:tcW w:w="3226" w:type="dxa"/>
            <w:noWrap w:val="0"/>
            <w:vAlign w:val="center"/>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更换四档泥板</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932" w:type="dxa"/>
            <w:gridSpan w:val="6"/>
            <w:noWrap w:val="0"/>
            <w:vAlign w:val="bottom"/>
          </w:tcPr>
          <w:p>
            <w:pPr>
              <w:pStyle w:val="77"/>
              <w:spacing w:line="360" w:lineRule="auto"/>
              <w:jc w:val="center"/>
              <w:rPr>
                <w:rFonts w:hint="eastAsia" w:ascii="华文宋体" w:hAnsi="华文宋体" w:eastAsia="华文宋体" w:cs="华文宋体"/>
                <w:b/>
                <w:bCs/>
                <w:color w:val="auto"/>
                <w:sz w:val="21"/>
                <w:szCs w:val="21"/>
                <w:highlight w:val="none"/>
              </w:rPr>
            </w:pPr>
            <w:r>
              <w:rPr>
                <w:rFonts w:hint="eastAsia" w:ascii="华文宋体" w:hAnsi="华文宋体" w:eastAsia="华文宋体" w:cs="华文宋体"/>
                <w:b/>
                <w:bCs/>
                <w:color w:val="auto"/>
                <w:sz w:val="21"/>
                <w:szCs w:val="21"/>
                <w:highlight w:val="none"/>
              </w:rPr>
              <w:t>维修项目X</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restart"/>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左前叶子板凹位修复及校正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右前叶子板凹位修复及校正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车顶凹位修复及校正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左前门凹位修复及校正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右前门凹位修复及校正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左下裙条凹位修复及校正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右下裙条凹位修复及校正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左前立柱凹位修复及校正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右前立柱凹位修复及校正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1010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左中柱凹位修复及校正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1011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右中柱凹位修复及校正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1012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左后门凹位修复及校正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1013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右后门凹位修复及校正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1014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左后叶子板凹位修复及校正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1015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右后叶子板凹位修复及校正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1016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前保险杠凹位修复及校正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1017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拆装清洁全车室内饰件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932" w:type="dxa"/>
            <w:gridSpan w:val="6"/>
            <w:noWrap w:val="0"/>
            <w:vAlign w:val="bottom"/>
          </w:tcPr>
          <w:p>
            <w:pPr>
              <w:pStyle w:val="77"/>
              <w:spacing w:line="360" w:lineRule="auto"/>
              <w:jc w:val="center"/>
              <w:rPr>
                <w:rFonts w:hint="eastAsia" w:ascii="华文宋体" w:hAnsi="华文宋体" w:eastAsia="华文宋体" w:cs="华文宋体"/>
                <w:b/>
                <w:bCs/>
                <w:color w:val="auto"/>
                <w:sz w:val="21"/>
                <w:szCs w:val="21"/>
                <w:highlight w:val="none"/>
              </w:rPr>
            </w:pPr>
            <w:r>
              <w:rPr>
                <w:rFonts w:hint="eastAsia" w:ascii="华文宋体" w:hAnsi="华文宋体" w:eastAsia="华文宋体" w:cs="华文宋体"/>
                <w:b/>
                <w:bCs/>
                <w:color w:val="auto"/>
                <w:sz w:val="21"/>
                <w:szCs w:val="21"/>
                <w:highlight w:val="none"/>
              </w:rPr>
              <w:t>维修项目XI</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4" w:type="dxa"/>
            <w:vMerge w:val="restart"/>
            <w:noWrap w:val="0"/>
            <w:vAlign w:val="center"/>
          </w:tcPr>
          <w:p>
            <w:pPr>
              <w:pStyle w:val="77"/>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美容及烤漆</w:t>
            </w: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1101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全车烤漆内外</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14500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restart"/>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1103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前保险杠烤漆（新件）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center"/>
          </w:tcPr>
          <w:p>
            <w:pPr>
              <w:pStyle w:val="77"/>
              <w:spacing w:line="360" w:lineRule="auto"/>
              <w:jc w:val="right"/>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前保险杠烤漆（旧件）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center"/>
          </w:tcPr>
          <w:p>
            <w:pPr>
              <w:pStyle w:val="77"/>
              <w:spacing w:line="360" w:lineRule="auto"/>
              <w:jc w:val="right"/>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前保险杠烤漆（残破）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1104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前保险杠补漆（局部）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restart"/>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1109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前车门烤漆（新件）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前车门烤漆（旧件）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1035" w:type="dxa"/>
            <w:noWrap w:val="0"/>
            <w:vAlign w:val="bottom"/>
          </w:tcPr>
          <w:p>
            <w:pPr>
              <w:pStyle w:val="77"/>
              <w:spacing w:line="360" w:lineRule="auto"/>
              <w:ind w:right="120"/>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前车门烤漆（残破）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restart"/>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1110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后车门烤漆（新件）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center"/>
          </w:tcPr>
          <w:p>
            <w:pPr>
              <w:pStyle w:val="77"/>
              <w:spacing w:line="360" w:lineRule="auto"/>
              <w:jc w:val="right"/>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后车门烤漆（旧件）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1035" w:type="dxa"/>
            <w:noWrap w:val="0"/>
            <w:vAlign w:val="bottom"/>
          </w:tcPr>
          <w:p>
            <w:pPr>
              <w:pStyle w:val="77"/>
              <w:spacing w:line="360" w:lineRule="auto"/>
              <w:ind w:right="120"/>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center"/>
          </w:tcPr>
          <w:p>
            <w:pPr>
              <w:pStyle w:val="77"/>
              <w:spacing w:line="360" w:lineRule="auto"/>
              <w:jc w:val="right"/>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后车门烤漆（残破）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restart"/>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1111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前立柱烤漆（旧件）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center"/>
          </w:tcPr>
          <w:p>
            <w:pPr>
              <w:pStyle w:val="77"/>
              <w:spacing w:line="360" w:lineRule="auto"/>
              <w:jc w:val="right"/>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前立柱烤漆（残破）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restart"/>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1112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中立柱烤漆（旧件）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center"/>
          </w:tcPr>
          <w:p>
            <w:pPr>
              <w:pStyle w:val="77"/>
              <w:spacing w:line="360" w:lineRule="auto"/>
              <w:jc w:val="right"/>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中立柱烤漆（残破）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restart"/>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1113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后立柱烤漆（旧件）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center"/>
          </w:tcPr>
          <w:p>
            <w:pPr>
              <w:pStyle w:val="77"/>
              <w:spacing w:line="360" w:lineRule="auto"/>
              <w:jc w:val="right"/>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后立柱烤漆（残破）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restart"/>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1114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车门上幅烤漆（旧件）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center"/>
          </w:tcPr>
          <w:p>
            <w:pPr>
              <w:pStyle w:val="77"/>
              <w:spacing w:line="360" w:lineRule="auto"/>
              <w:jc w:val="right"/>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车门上幅烤漆（残破）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restart"/>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1115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车门下幅烤漆（旧件）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center"/>
          </w:tcPr>
          <w:p>
            <w:pPr>
              <w:pStyle w:val="77"/>
              <w:spacing w:line="360" w:lineRule="auto"/>
              <w:jc w:val="right"/>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车门下幅烤漆（残破）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1116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车门防撞条烤漆</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restart"/>
            <w:noWrap w:val="0"/>
            <w:vAlign w:val="center"/>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1117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车身下裙条烤漆（新件）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center"/>
          </w:tcPr>
          <w:p>
            <w:pPr>
              <w:pStyle w:val="77"/>
              <w:spacing w:line="360" w:lineRule="auto"/>
              <w:jc w:val="right"/>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车身下裙条烤漆（旧件）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center"/>
          </w:tcPr>
          <w:p>
            <w:pPr>
              <w:pStyle w:val="77"/>
              <w:spacing w:line="360" w:lineRule="auto"/>
              <w:jc w:val="right"/>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车身下裙条烤漆（残破）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720" w:type="dxa"/>
            <w:noWrap w:val="0"/>
            <w:vAlign w:val="bottom"/>
          </w:tcPr>
          <w:p>
            <w:pPr>
              <w:pStyle w:val="77"/>
              <w:spacing w:line="360" w:lineRule="auto"/>
              <w:ind w:right="480"/>
              <w:jc w:val="center"/>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restart"/>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p>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1118</w:t>
            </w:r>
          </w:p>
          <w:p>
            <w:pPr>
              <w:pStyle w:val="77"/>
              <w:spacing w:line="360" w:lineRule="auto"/>
              <w:jc w:val="center"/>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车顶烤漆（新件）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车顶烤漆（旧件）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vMerge w:val="continue"/>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车顶烤漆（残破）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1119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全车座位清洗、上蜡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1120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发动机外部清洗、上蜡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1121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全车抛光、上蜡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1123</w:t>
            </w:r>
          </w:p>
        </w:tc>
        <w:tc>
          <w:tcPr>
            <w:tcW w:w="3226" w:type="dxa"/>
            <w:noWrap w:val="0"/>
            <w:vAlign w:val="bottom"/>
          </w:tcPr>
          <w:p>
            <w:pPr>
              <w:pStyle w:val="77"/>
              <w:tabs>
                <w:tab w:val="left" w:pos="630"/>
              </w:tabs>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全车打磨、抛光、上蜡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1124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上增艳蜡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1125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全车除污渍</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1126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打磨、抛光加一层</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1127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后箱盖烤漆</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1128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内部美容蒸气</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1129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水蜡洗车</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1130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上普通光蜡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1131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更换全车座套</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1132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外车身、全车填面喷漆、烤漆</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1133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车底喷防锈漆</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1134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全车室内消毒</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1135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室内椅套清洗</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1136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发动机外表清洗</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1137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后尾幅喷漆</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1138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大梁修复后补漆</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8738" w:type="dxa"/>
            <w:gridSpan w:val="6"/>
            <w:noWrap w:val="0"/>
            <w:vAlign w:val="bottom"/>
          </w:tcPr>
          <w:p>
            <w:pPr>
              <w:pStyle w:val="77"/>
              <w:spacing w:line="360" w:lineRule="auto"/>
              <w:jc w:val="center"/>
              <w:rPr>
                <w:rFonts w:hint="eastAsia" w:ascii="华文宋体" w:hAnsi="华文宋体" w:eastAsia="华文宋体" w:cs="华文宋体"/>
                <w:b/>
                <w:bCs/>
                <w:color w:val="auto"/>
                <w:sz w:val="21"/>
                <w:szCs w:val="21"/>
                <w:highlight w:val="none"/>
              </w:rPr>
            </w:pPr>
            <w:r>
              <w:rPr>
                <w:rFonts w:hint="eastAsia" w:ascii="华文宋体" w:hAnsi="华文宋体" w:eastAsia="华文宋体" w:cs="华文宋体"/>
                <w:b/>
                <w:bCs/>
                <w:color w:val="auto"/>
                <w:sz w:val="21"/>
                <w:szCs w:val="21"/>
                <w:highlight w:val="none"/>
              </w:rPr>
              <w:t>维修项目Ⅻ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更换车箱示宽灯（个）</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更换侧照明灯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更换侧警灯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更换链子门滑道</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更换链子门卷筒</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更换链子门滚轮</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更换侧翻板门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更换气弹簧</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更换翻板门横樑</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1210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更换水罐盖</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1211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更换泡沫罐盖</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1212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更换链子门胶条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1213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更换链子门防水饰条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1214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检修水泵气路系统</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1215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检修水泵电路系统</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1216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检修水炮气路系统</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1217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检修水炮电路系统</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1218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更换水泵油门控制线</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1219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更换水泵后进水碟阀</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1220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更换水泵注水球阀</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1221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更换水泵出水球阀</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1222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更换水箱注水口接扣</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1223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更换出水球阀垫</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1224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更换水泵后闷盖</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1225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更换水罐放余水球阀</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1226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更换泡沫罐放余液球阀</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1227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更换水泡出水球阀</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1228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更换水泵叶轮</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center"/>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1229</w:t>
            </w:r>
          </w:p>
        </w:tc>
        <w:tc>
          <w:tcPr>
            <w:tcW w:w="3226" w:type="dxa"/>
            <w:noWrap w:val="0"/>
            <w:vAlign w:val="center"/>
          </w:tcPr>
          <w:p>
            <w:pPr>
              <w:pStyle w:val="77"/>
              <w:spacing w:line="360" w:lineRule="auto"/>
              <w:jc w:val="lef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水泵系统保养大修（含拆装水泵）</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8500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7500</w:t>
            </w:r>
          </w:p>
        </w:tc>
        <w:tc>
          <w:tcPr>
            <w:tcW w:w="720"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center"/>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1230</w:t>
            </w:r>
          </w:p>
        </w:tc>
        <w:tc>
          <w:tcPr>
            <w:tcW w:w="3226" w:type="dxa"/>
            <w:noWrap w:val="0"/>
            <w:vAlign w:val="center"/>
          </w:tcPr>
          <w:p>
            <w:pPr>
              <w:pStyle w:val="77"/>
              <w:spacing w:line="360" w:lineRule="auto"/>
              <w:jc w:val="lef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真空泵保养大修（含拆装真空泵或水泵）</w:t>
            </w:r>
          </w:p>
        </w:tc>
        <w:tc>
          <w:tcPr>
            <w:tcW w:w="187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7000</w:t>
            </w:r>
          </w:p>
        </w:tc>
        <w:tc>
          <w:tcPr>
            <w:tcW w:w="883"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6000</w:t>
            </w:r>
          </w:p>
        </w:tc>
        <w:tc>
          <w:tcPr>
            <w:tcW w:w="1035"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3500</w:t>
            </w:r>
          </w:p>
        </w:tc>
        <w:tc>
          <w:tcPr>
            <w:tcW w:w="720" w:type="dxa"/>
            <w:noWrap w:val="0"/>
            <w:vAlign w:val="center"/>
          </w:tcPr>
          <w:p>
            <w:pPr>
              <w:pStyle w:val="77"/>
              <w:spacing w:line="360" w:lineRule="auto"/>
              <w:jc w:val="center"/>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1231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大修水泵取力器（含吊装）</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1232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更换水泵总电源控制开关</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1233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更换油门电源控制开关</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1234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更换吸水管碟阀</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1235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更换吸水管总成</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1236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更换水泵传动轴（第一节）</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1237</w:t>
            </w:r>
          </w:p>
        </w:tc>
        <w:tc>
          <w:tcPr>
            <w:tcW w:w="3226" w:type="dxa"/>
            <w:noWrap w:val="0"/>
            <w:vAlign w:val="top"/>
          </w:tcPr>
          <w:p>
            <w:pPr>
              <w:pStyle w:val="77"/>
              <w:spacing w:line="360" w:lineRule="auto"/>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更换水泵传动轴（第二节</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1238</w:t>
            </w:r>
          </w:p>
        </w:tc>
        <w:tc>
          <w:tcPr>
            <w:tcW w:w="3226" w:type="dxa"/>
            <w:noWrap w:val="0"/>
            <w:vAlign w:val="top"/>
          </w:tcPr>
          <w:p>
            <w:pPr>
              <w:pStyle w:val="77"/>
              <w:spacing w:line="360" w:lineRule="auto"/>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bCs/>
                <w:color w:val="auto"/>
                <w:sz w:val="21"/>
                <w:szCs w:val="21"/>
                <w:highlight w:val="none"/>
              </w:rPr>
              <w:t>更换水泵传动轴（第三节</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1239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更换水泵传动轴中吊轴承</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1240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更换水泵传动轴中吊架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1241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更换水泵传动轴万向节</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1242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更换真空泵皮带</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1243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更换拉梯架</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1244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水罐修补（沙眼）</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1245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水罐修补（裂缝）</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1246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水罐大修防腐</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26000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24000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1247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泡沫罐修补（沙眼）</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1248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泡沫罐修补（裂缝）</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1249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泡沫罐大修防腐</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14000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1250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更换箱体后照明灯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1251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更换水箱体后圆警灯</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1252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更换水炮总成</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1253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更换水炮控制电机</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400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1254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更换水泵气源过滤器</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1255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更换水泵系统气源电子阀</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330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1256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更换水泵防箱体（含吊装）</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11000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11000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1257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液位罐箱体吊装</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1258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更换前拖后吊液压泵</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1259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更换后吊油杆油封（套）</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1600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1260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拆装后吊臂</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1100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1261</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更换照明车灯灯管</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1262</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更换照明车灯总成</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200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1263</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更换照明车灯云台</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1264</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更换照明车升举灯杆</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1600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1265</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更换照明系统电线</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240" w:lineRule="auto"/>
              <w:ind w:right="0" w:firstLine="210" w:firstLineChars="100"/>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1266</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更换照明车充气机</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700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600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1267</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更换照明车发电机</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1000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900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800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1268</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照明车发电机大修</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1269</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更换照明车发电机火嘴</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150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4" w:type="dxa"/>
            <w:vMerge w:val="continue"/>
            <w:noWrap w:val="0"/>
            <w:vAlign w:val="center"/>
          </w:tcPr>
          <w:p>
            <w:pPr>
              <w:pStyle w:val="77"/>
              <w:spacing w:line="360" w:lineRule="auto"/>
              <w:rPr>
                <w:rFonts w:hint="eastAsia" w:ascii="华文宋体" w:hAnsi="华文宋体" w:eastAsia="华文宋体" w:cs="华文宋体"/>
                <w:bCs/>
                <w:color w:val="auto"/>
                <w:sz w:val="21"/>
                <w:szCs w:val="21"/>
                <w:highlight w:val="none"/>
              </w:rPr>
            </w:pPr>
          </w:p>
        </w:tc>
        <w:tc>
          <w:tcPr>
            <w:tcW w:w="999" w:type="dxa"/>
            <w:noWrap w:val="0"/>
            <w:vAlign w:val="bottom"/>
          </w:tcPr>
          <w:p>
            <w:pPr>
              <w:pStyle w:val="77"/>
              <w:spacing w:line="360" w:lineRule="auto"/>
              <w:jc w:val="right"/>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1270</w:t>
            </w:r>
          </w:p>
        </w:tc>
        <w:tc>
          <w:tcPr>
            <w:tcW w:w="3226"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装备车器材架维修</w:t>
            </w:r>
          </w:p>
        </w:tc>
        <w:tc>
          <w:tcPr>
            <w:tcW w:w="187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350</w:t>
            </w:r>
          </w:p>
        </w:tc>
        <w:tc>
          <w:tcPr>
            <w:tcW w:w="883"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330</w:t>
            </w:r>
          </w:p>
        </w:tc>
        <w:tc>
          <w:tcPr>
            <w:tcW w:w="1035" w:type="dxa"/>
            <w:noWrap w:val="0"/>
            <w:vAlign w:val="bottom"/>
          </w:tcPr>
          <w:p>
            <w:pPr>
              <w:pStyle w:val="77"/>
              <w:spacing w:line="360" w:lineRule="auto"/>
              <w:jc w:val="center"/>
              <w:rPr>
                <w:rFonts w:hint="eastAsia" w:ascii="华文宋体" w:hAnsi="华文宋体" w:eastAsia="华文宋体" w:cs="华文宋体"/>
                <w:bCs/>
                <w:color w:val="auto"/>
                <w:sz w:val="21"/>
                <w:szCs w:val="21"/>
                <w:highlight w:val="none"/>
              </w:rPr>
            </w:pPr>
            <w:r>
              <w:rPr>
                <w:rFonts w:hint="eastAsia" w:ascii="华文宋体" w:hAnsi="华文宋体" w:eastAsia="华文宋体" w:cs="华文宋体"/>
                <w:bCs/>
                <w:color w:val="auto"/>
                <w:sz w:val="21"/>
                <w:szCs w:val="21"/>
                <w:highlight w:val="none"/>
              </w:rPr>
              <w:t>300</w:t>
            </w:r>
          </w:p>
        </w:tc>
        <w:tc>
          <w:tcPr>
            <w:tcW w:w="720" w:type="dxa"/>
            <w:noWrap w:val="0"/>
            <w:vAlign w:val="bottom"/>
          </w:tcPr>
          <w:p>
            <w:pPr>
              <w:pStyle w:val="77"/>
              <w:spacing w:line="360" w:lineRule="auto"/>
              <w:rPr>
                <w:rFonts w:hint="eastAsia" w:ascii="华文宋体" w:hAnsi="华文宋体" w:eastAsia="华文宋体" w:cs="华文宋体"/>
                <w:bCs/>
                <w:color w:val="auto"/>
                <w:sz w:val="21"/>
                <w:szCs w:val="21"/>
                <w:highlight w:val="none"/>
              </w:rPr>
            </w:pPr>
          </w:p>
        </w:tc>
      </w:tr>
    </w:tbl>
    <w:p>
      <w:pPr>
        <w:pStyle w:val="47"/>
        <w:numPr>
          <w:ilvl w:val="0"/>
          <w:numId w:val="0"/>
        </w:numPr>
        <w:ind w:left="360" w:leftChars="0"/>
        <w:rPr>
          <w:rFonts w:hint="eastAsia" w:ascii="华文宋体" w:hAnsi="华文宋体" w:eastAsia="华文宋体" w:cs="华文宋体"/>
          <w:color w:val="auto"/>
          <w:highlight w:val="none"/>
        </w:rPr>
        <w:sectPr>
          <w:footerReference r:id="rId8" w:type="even"/>
          <w:pgSz w:w="11906" w:h="16838"/>
          <w:pgMar w:top="1610" w:right="1293" w:bottom="1553" w:left="1349" w:header="907" w:footer="907" w:gutter="0"/>
          <w:cols w:space="0" w:num="1"/>
          <w:rtlGutter w:val="0"/>
          <w:docGrid w:type="lines" w:linePitch="312" w:charSpace="0"/>
        </w:sectPr>
      </w:pPr>
      <w:r>
        <w:rPr>
          <w:rFonts w:hint="eastAsia" w:ascii="华文宋体" w:hAnsi="华文宋体" w:eastAsia="华文宋体" w:cs="华文宋体"/>
          <w:color w:val="auto"/>
          <w:sz w:val="21"/>
          <w:szCs w:val="21"/>
          <w:highlight w:val="none"/>
        </w:rPr>
        <w:t>注：表中机修电器项目收费相关附件折装，钣金项目收费为单项拆装修复，喷漆项目收费包括含漆料，美容项目包含耗材</w:t>
      </w:r>
      <w:r>
        <w:rPr>
          <w:rFonts w:hint="eastAsia" w:ascii="华文宋体" w:hAnsi="华文宋体" w:eastAsia="华文宋体" w:cs="华文宋体"/>
          <w:color w:val="auto"/>
          <w:sz w:val="21"/>
          <w:szCs w:val="21"/>
          <w:highlight w:val="none"/>
          <w:lang w:eastAsia="zh-CN"/>
        </w:rPr>
        <w:t>。</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Start w:id="55" w:name="_Toc98035084"/>
      <w:bookmarkStart w:id="56" w:name="_Toc525322207"/>
      <w:bookmarkStart w:id="57" w:name="_Toc46308679"/>
      <w:bookmarkStart w:id="58" w:name="_Toc41884682"/>
      <w:bookmarkStart w:id="59" w:name="_Toc101775108"/>
      <w:bookmarkStart w:id="60" w:name="_Toc403491560"/>
      <w:bookmarkStart w:id="61" w:name="_Toc16017"/>
      <w:bookmarkStart w:id="62" w:name="_Toc41723912"/>
      <w:bookmarkStart w:id="63" w:name="_Toc101951241"/>
      <w:bookmarkStart w:id="64" w:name="_Toc11860"/>
      <w:bookmarkStart w:id="65" w:name="_Toc42394495"/>
      <w:bookmarkStart w:id="66" w:name="_Toc46308523"/>
      <w:bookmarkStart w:id="67" w:name="_Toc42394652"/>
      <w:bookmarkStart w:id="68" w:name="_Toc101771355"/>
      <w:bookmarkStart w:id="69" w:name="_Toc101843108"/>
      <w:bookmarkStart w:id="70" w:name="_Toc5741"/>
      <w:bookmarkStart w:id="71" w:name="_Toc623"/>
      <w:bookmarkStart w:id="72" w:name="_Toc401575138"/>
      <w:bookmarkStart w:id="73" w:name="_Toc98578991"/>
      <w:bookmarkStart w:id="74" w:name="_Toc25586"/>
      <w:bookmarkStart w:id="75" w:name="_Toc175644385"/>
      <w:bookmarkStart w:id="76" w:name="_Toc98579590"/>
      <w:bookmarkStart w:id="77" w:name="_Toc3179_WPSOffice_Level2"/>
      <w:bookmarkStart w:id="78" w:name="_Toc98580273"/>
      <w:bookmarkStart w:id="79" w:name="_Toc28046"/>
      <w:bookmarkStart w:id="80" w:name="_Toc23649"/>
      <w:bookmarkStart w:id="81" w:name="_Toc11922"/>
      <w:bookmarkStart w:id="82" w:name="_Toc98579049"/>
      <w:bookmarkStart w:id="83" w:name="_Toc42313150"/>
      <w:bookmarkStart w:id="84" w:name="_Toc24938"/>
    </w:p>
    <w:p>
      <w:pPr>
        <w:rPr>
          <w:rFonts w:hint="eastAsia" w:ascii="华文宋体" w:hAnsi="华文宋体" w:eastAsia="华文宋体" w:cs="华文宋体"/>
          <w:color w:val="auto"/>
          <w:highlight w:val="none"/>
        </w:rPr>
      </w:pPr>
    </w:p>
    <w:p>
      <w:pPr>
        <w:pStyle w:val="4"/>
        <w:keepNext/>
        <w:keepLines/>
        <w:pageBreakBefore w:val="0"/>
        <w:widowControl w:val="0"/>
        <w:kinsoku/>
        <w:wordWrap/>
        <w:overflowPunct/>
        <w:topLinePunct w:val="0"/>
        <w:autoSpaceDE/>
        <w:autoSpaceDN/>
        <w:bidi w:val="0"/>
        <w:adjustRightInd/>
        <w:snapToGrid/>
        <w:spacing w:before="0" w:after="157" w:afterLines="50" w:line="240" w:lineRule="auto"/>
        <w:jc w:val="center"/>
        <w:textAlignment w:val="auto"/>
        <w:rPr>
          <w:rFonts w:hint="eastAsia" w:ascii="华文宋体" w:hAnsi="华文宋体" w:eastAsia="华文宋体" w:cs="华文宋体"/>
          <w:color w:val="auto"/>
          <w:sz w:val="40"/>
          <w:szCs w:val="40"/>
          <w:highlight w:val="none"/>
        </w:rPr>
      </w:pPr>
      <w:r>
        <w:rPr>
          <w:rFonts w:hint="eastAsia" w:ascii="华文宋体" w:hAnsi="华文宋体" w:eastAsia="华文宋体" w:cs="华文宋体"/>
          <w:color w:val="auto"/>
          <w:sz w:val="40"/>
          <w:szCs w:val="40"/>
          <w:highlight w:val="none"/>
        </w:rPr>
        <w:t>第三章 供应商须知</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tbl>
      <w:tblPr>
        <w:tblStyle w:val="30"/>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98"/>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tblHeader/>
        </w:trPr>
        <w:tc>
          <w:tcPr>
            <w:tcW w:w="675" w:type="dxa"/>
            <w:shd w:val="clear" w:color="auto" w:fill="D7D7D7"/>
            <w:noWrap w:val="0"/>
            <w:vAlign w:val="center"/>
          </w:tcPr>
          <w:p>
            <w:pPr>
              <w:spacing w:line="350" w:lineRule="exact"/>
              <w:ind w:left="0" w:leftChars="0" w:right="0" w:rightChars="0" w:firstLine="0" w:firstLineChars="0"/>
              <w:jc w:val="both"/>
              <w:rPr>
                <w:rFonts w:hint="eastAsia" w:ascii="华文宋体" w:hAnsi="华文宋体" w:eastAsia="华文宋体" w:cs="华文宋体"/>
                <w:b/>
                <w:bCs/>
                <w:color w:val="auto"/>
                <w:sz w:val="22"/>
                <w:highlight w:val="none"/>
              </w:rPr>
            </w:pPr>
            <w:bookmarkStart w:id="85" w:name="EBd50defe0b06d4c358e13084b59f90fc0"/>
            <w:bookmarkEnd w:id="85"/>
            <w:bookmarkStart w:id="86" w:name="EB02eb95036b1c4da192e06ff199745ecb"/>
            <w:bookmarkEnd w:id="86"/>
            <w:r>
              <w:rPr>
                <w:rFonts w:hint="eastAsia" w:ascii="华文宋体" w:hAnsi="华文宋体" w:eastAsia="华文宋体" w:cs="华文宋体"/>
                <w:b/>
                <w:bCs/>
                <w:color w:val="auto"/>
                <w:sz w:val="22"/>
                <w:highlight w:val="none"/>
              </w:rPr>
              <w:t>序号</w:t>
            </w:r>
          </w:p>
        </w:tc>
        <w:tc>
          <w:tcPr>
            <w:tcW w:w="1998" w:type="dxa"/>
            <w:shd w:val="clear" w:color="auto" w:fill="D7D7D7"/>
            <w:noWrap w:val="0"/>
            <w:vAlign w:val="center"/>
          </w:tcPr>
          <w:p>
            <w:pPr>
              <w:spacing w:line="350" w:lineRule="exact"/>
              <w:jc w:val="center"/>
              <w:rPr>
                <w:rFonts w:hint="eastAsia" w:ascii="华文宋体" w:hAnsi="华文宋体" w:eastAsia="华文宋体" w:cs="华文宋体"/>
                <w:b/>
                <w:bCs/>
                <w:color w:val="auto"/>
                <w:sz w:val="22"/>
                <w:highlight w:val="none"/>
              </w:rPr>
            </w:pPr>
            <w:r>
              <w:rPr>
                <w:rFonts w:hint="eastAsia" w:ascii="华文宋体" w:hAnsi="华文宋体" w:eastAsia="华文宋体" w:cs="华文宋体"/>
                <w:b/>
                <w:bCs/>
                <w:color w:val="auto"/>
                <w:sz w:val="22"/>
                <w:highlight w:val="none"/>
              </w:rPr>
              <w:t>条款名称</w:t>
            </w:r>
          </w:p>
        </w:tc>
        <w:tc>
          <w:tcPr>
            <w:tcW w:w="6548" w:type="dxa"/>
            <w:shd w:val="clear" w:color="auto" w:fill="D7D7D7"/>
            <w:noWrap w:val="0"/>
            <w:vAlign w:val="center"/>
          </w:tcPr>
          <w:p>
            <w:pPr>
              <w:spacing w:line="350" w:lineRule="exact"/>
              <w:jc w:val="center"/>
              <w:rPr>
                <w:rFonts w:hint="eastAsia" w:ascii="华文宋体" w:hAnsi="华文宋体" w:eastAsia="华文宋体" w:cs="华文宋体"/>
                <w:b/>
                <w:bCs/>
                <w:color w:val="auto"/>
                <w:sz w:val="22"/>
                <w:highlight w:val="none"/>
              </w:rPr>
            </w:pPr>
            <w:r>
              <w:rPr>
                <w:rFonts w:hint="eastAsia" w:ascii="华文宋体" w:hAnsi="华文宋体" w:eastAsia="华文宋体" w:cs="华文宋体"/>
                <w:b/>
                <w:bCs/>
                <w:color w:val="auto"/>
                <w:sz w:val="22"/>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after="24" w:afterLines="10"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采购项目</w:t>
            </w:r>
          </w:p>
        </w:tc>
        <w:tc>
          <w:tcPr>
            <w:tcW w:w="6548" w:type="dxa"/>
            <w:noWrap w:val="0"/>
            <w:vAlign w:val="center"/>
          </w:tcPr>
          <w:p>
            <w:pPr>
              <w:spacing w:after="24" w:afterLines="10"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广东省广州市越秀区消防救援大队2023年消防车辆维修和保养服务采购项目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after="24" w:afterLines="10"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项目编号</w:t>
            </w:r>
          </w:p>
        </w:tc>
        <w:tc>
          <w:tcPr>
            <w:tcW w:w="6548" w:type="dxa"/>
            <w:noWrap w:val="0"/>
            <w:vAlign w:val="center"/>
          </w:tcPr>
          <w:p>
            <w:pPr>
              <w:spacing w:after="24" w:afterLines="10"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GDGC2304CS18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after="24" w:afterLines="10"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资金来源</w:t>
            </w:r>
          </w:p>
        </w:tc>
        <w:tc>
          <w:tcPr>
            <w:tcW w:w="6548" w:type="dxa"/>
            <w:noWrap w:val="0"/>
            <w:vAlign w:val="center"/>
          </w:tcPr>
          <w:p>
            <w:pPr>
              <w:spacing w:after="24" w:afterLines="10"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after="24" w:afterLines="10"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采购预算</w:t>
            </w:r>
          </w:p>
        </w:tc>
        <w:tc>
          <w:tcPr>
            <w:tcW w:w="6548" w:type="dxa"/>
            <w:noWrap w:val="0"/>
            <w:vAlign w:val="center"/>
          </w:tcPr>
          <w:p>
            <w:pPr>
              <w:spacing w:after="24" w:afterLines="10"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人民币壹佰陆拾万元整（￥160万元）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after="24" w:afterLines="10"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最高限价</w:t>
            </w:r>
          </w:p>
        </w:tc>
        <w:tc>
          <w:tcPr>
            <w:tcW w:w="6548" w:type="dxa"/>
            <w:noWrap w:val="0"/>
            <w:vAlign w:val="center"/>
          </w:tcPr>
          <w:p>
            <w:pPr>
              <w:spacing w:after="24" w:afterLines="10"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人民币壹佰陆拾万元整（￥160万元）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公告媒体</w:t>
            </w:r>
          </w:p>
        </w:tc>
        <w:tc>
          <w:tcPr>
            <w:tcW w:w="6548" w:type="dxa"/>
            <w:noWrap w:val="0"/>
            <w:vAlign w:val="center"/>
          </w:tcPr>
          <w:p>
            <w:pPr>
              <w:pStyle w:val="47"/>
              <w:numPr>
                <w:ilvl w:val="0"/>
                <w:numId w:val="26"/>
              </w:numPr>
              <w:spacing w:line="350" w:lineRule="exact"/>
              <w:ind w:left="283" w:hanging="283"/>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中国政府采购网(www.ccgp.gov.cn)</w:t>
            </w:r>
          </w:p>
          <w:p>
            <w:pPr>
              <w:numPr>
                <w:ilvl w:val="0"/>
                <w:numId w:val="26"/>
              </w:numPr>
              <w:spacing w:after="24" w:afterLines="10" w:line="350" w:lineRule="exact"/>
              <w:ind w:left="283" w:hanging="283"/>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广东公采招标有限公司网站（www.gdgongcai.com）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采购人</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名称：</w:t>
            </w:r>
            <w:r>
              <w:rPr>
                <w:rFonts w:hint="eastAsia" w:ascii="华文宋体" w:hAnsi="华文宋体" w:cs="华文宋体"/>
                <w:color w:val="auto"/>
                <w:sz w:val="22"/>
                <w:highlight w:val="none"/>
                <w:lang w:val="en-US" w:eastAsia="zh-CN"/>
              </w:rPr>
              <w:t>广东省</w:t>
            </w:r>
            <w:r>
              <w:rPr>
                <w:rFonts w:hint="eastAsia" w:ascii="华文宋体" w:hAnsi="华文宋体" w:eastAsia="华文宋体" w:cs="华文宋体"/>
                <w:color w:val="auto"/>
                <w:sz w:val="22"/>
                <w:highlight w:val="none"/>
              </w:rPr>
              <w:t>广州市越秀区消防救援大队</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地址：广州市越秀区文明路49号</w:t>
            </w:r>
          </w:p>
          <w:p>
            <w:pPr>
              <w:spacing w:after="24" w:afterLines="10"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联系人和联系方式：020-83527440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采购代理机构</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名称：广东公采招标有限公司</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地址：广州市天河区广州大道北613号城光大厦515,517室</w:t>
            </w:r>
          </w:p>
          <w:p>
            <w:pPr>
              <w:spacing w:after="24" w:afterLines="10"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联系人和联系方式：劳小姐，020-38083016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5"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供应商资格条件</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(一)应具备《中华人民共和国政府采购法》第二十二条规定的条件：</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(1) 具有独立承担民事责任的能力；</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(2) 具有良好的商业信誉和健全的财务会计制度；</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(3) 具有履行合同所必需的设备和专业技术能力；</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(4) 有依法缴纳税收和社会保障资金的良好记录；</w:t>
            </w:r>
          </w:p>
          <w:p>
            <w:pPr>
              <w:spacing w:line="350" w:lineRule="exact"/>
              <w:ind w:left="440" w:hanging="440" w:hangingChars="200"/>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(5) 参加政府采购活动前三年内，在经营活动中没有重大违法记录；</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(6) 法律、行政法规规定的其他条件。</w:t>
            </w:r>
          </w:p>
          <w:p>
            <w:pPr>
              <w:spacing w:line="350" w:lineRule="exact"/>
              <w:ind w:left="440" w:hanging="440" w:hangingChars="200"/>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二)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(三)特定资格要求:</w:t>
            </w:r>
          </w:p>
          <w:p>
            <w:pPr>
              <w:spacing w:line="350" w:lineRule="exact"/>
              <w:ind w:left="440" w:hanging="440" w:hangingChars="200"/>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(1) 未被列入“信用中国”（www.creditchina.gov.cn）“失信被执行人、重大税收违法案件当事人名单、政府采购严重违法失信行为记录名单”，且不在中国政府采购网(www.ccgp.gov.cn)“政府采购严重违法失信行为记录名单”中的禁止参加政府采购活动期间。</w:t>
            </w:r>
          </w:p>
          <w:p>
            <w:pPr>
              <w:spacing w:line="350" w:lineRule="exact"/>
              <w:ind w:left="440" w:hanging="440" w:hangingChars="200"/>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(2) 法定代表人或单位负责人为同一人或者存在直接控股、管理关系的不同供应商，不得参加同一合同项下的政府采购活动。为项目提供整体设计、规范编制或者项目管理、监理、检测等服务的供应商，不得再参加该项目的其他采购活动。</w:t>
            </w:r>
          </w:p>
          <w:p>
            <w:pPr>
              <w:spacing w:line="350" w:lineRule="exact"/>
              <w:ind w:left="440" w:hanging="440" w:hangingChars="200"/>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(四)</w:t>
            </w:r>
            <w:r>
              <w:rPr>
                <w:rFonts w:hint="eastAsia" w:ascii="华文宋体" w:hAnsi="华文宋体" w:eastAsia="华文宋体" w:cs="华文宋体"/>
                <w:color w:val="auto"/>
                <w:sz w:val="23"/>
                <w:szCs w:val="23"/>
                <w:highlight w:val="none"/>
              </w:rPr>
              <w:t>响应供应商提供交通行政主管部门审核通过的二类及以上机动车维修经营备案证明材料复印件，或提供承诺函承诺中标后一个月内完成二类及以上机动车维修经营备案。</w:t>
            </w:r>
          </w:p>
          <w:p>
            <w:pPr>
              <w:spacing w:line="350" w:lineRule="exact"/>
              <w:ind w:left="440" w:hanging="440" w:hangingChars="200"/>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(五)落实政府采购政策需满足的资格要求:本项目属于专门面向中小企业采购项目。</w:t>
            </w:r>
          </w:p>
          <w:p>
            <w:pPr>
              <w:spacing w:line="350" w:lineRule="exact"/>
              <w:ind w:left="440" w:hanging="440" w:hangingChars="200"/>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(六)已向采购代理机构报名购买本项目竞争性磋商文件。</w:t>
            </w:r>
          </w:p>
          <w:p>
            <w:pPr>
              <w:spacing w:after="60" w:afterLines="25"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 xml:space="preserve">(七)本项目不接受联合体参加。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项目现场考察</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b/>
                <w:bCs/>
                <w:color w:val="auto"/>
                <w:sz w:val="22"/>
                <w:highlight w:val="none"/>
              </w:rPr>
              <w:t>□</w:t>
            </w:r>
            <w:r>
              <w:rPr>
                <w:rFonts w:hint="eastAsia" w:ascii="华文宋体" w:hAnsi="华文宋体" w:eastAsia="华文宋体" w:cs="华文宋体"/>
                <w:color w:val="auto"/>
                <w:sz w:val="22"/>
                <w:highlight w:val="none"/>
              </w:rPr>
              <w:t xml:space="preserve">组织  </w:t>
            </w:r>
            <w:r>
              <w:rPr>
                <w:rFonts w:hint="eastAsia" w:ascii="华文宋体" w:hAnsi="华文宋体" w:eastAsia="华文宋体" w:cs="华文宋体"/>
                <w:b/>
                <w:bCs/>
                <w:color w:val="auto"/>
                <w:sz w:val="22"/>
                <w:highlight w:val="none"/>
              </w:rPr>
              <w:sym w:font="Wingdings 2" w:char="0052"/>
            </w:r>
            <w:r>
              <w:rPr>
                <w:rFonts w:hint="eastAsia" w:ascii="华文宋体" w:hAnsi="华文宋体" w:eastAsia="华文宋体" w:cs="华文宋体"/>
                <w:color w:val="auto"/>
                <w:sz w:val="22"/>
                <w:highlight w:val="none"/>
              </w:rPr>
              <w:t>不集中组织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after="24" w:afterLines="10"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答疑会</w:t>
            </w:r>
          </w:p>
        </w:tc>
        <w:tc>
          <w:tcPr>
            <w:tcW w:w="6548" w:type="dxa"/>
            <w:noWrap w:val="0"/>
            <w:vAlign w:val="center"/>
          </w:tcPr>
          <w:p>
            <w:pPr>
              <w:spacing w:after="24" w:afterLines="10"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 xml:space="preserve">□召开  </w:t>
            </w:r>
            <w:r>
              <w:rPr>
                <w:rFonts w:hint="eastAsia" w:ascii="华文宋体" w:hAnsi="华文宋体" w:eastAsia="华文宋体" w:cs="华文宋体"/>
                <w:b/>
                <w:bCs/>
                <w:color w:val="auto"/>
                <w:sz w:val="22"/>
                <w:highlight w:val="none"/>
              </w:rPr>
              <w:sym w:font="Wingdings 2" w:char="0052"/>
            </w:r>
            <w:r>
              <w:rPr>
                <w:rFonts w:hint="eastAsia" w:ascii="华文宋体" w:hAnsi="华文宋体" w:eastAsia="华文宋体" w:cs="华文宋体"/>
                <w:color w:val="auto"/>
                <w:sz w:val="22"/>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after="24" w:afterLines="10"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联合体</w:t>
            </w:r>
          </w:p>
        </w:tc>
        <w:tc>
          <w:tcPr>
            <w:tcW w:w="6548" w:type="dxa"/>
            <w:noWrap w:val="0"/>
            <w:vAlign w:val="center"/>
          </w:tcPr>
          <w:p>
            <w:pPr>
              <w:spacing w:after="24" w:afterLines="10"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 xml:space="preserve">□接受  </w:t>
            </w:r>
            <w:r>
              <w:rPr>
                <w:rFonts w:hint="eastAsia" w:ascii="华文宋体" w:hAnsi="华文宋体" w:eastAsia="华文宋体" w:cs="华文宋体"/>
                <w:b/>
                <w:bCs/>
                <w:color w:val="auto"/>
                <w:sz w:val="22"/>
                <w:highlight w:val="none"/>
              </w:rPr>
              <w:sym w:font="Wingdings 2" w:char="0052"/>
            </w:r>
            <w:r>
              <w:rPr>
                <w:rFonts w:hint="eastAsia" w:ascii="华文宋体" w:hAnsi="华文宋体" w:eastAsia="华文宋体" w:cs="华文宋体"/>
                <w:color w:val="auto"/>
                <w:sz w:val="22"/>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after="24" w:afterLines="10"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分包</w:t>
            </w:r>
          </w:p>
        </w:tc>
        <w:tc>
          <w:tcPr>
            <w:tcW w:w="6548" w:type="dxa"/>
            <w:noWrap w:val="0"/>
            <w:vAlign w:val="center"/>
          </w:tcPr>
          <w:p>
            <w:pPr>
              <w:spacing w:after="24" w:afterLines="10"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 xml:space="preserve">□接受  </w:t>
            </w:r>
            <w:r>
              <w:rPr>
                <w:rFonts w:hint="eastAsia" w:ascii="华文宋体" w:hAnsi="华文宋体" w:eastAsia="华文宋体" w:cs="华文宋体"/>
                <w:b/>
                <w:bCs/>
                <w:color w:val="auto"/>
                <w:sz w:val="22"/>
                <w:highlight w:val="none"/>
              </w:rPr>
              <w:sym w:font="Wingdings 2" w:char="0052"/>
            </w:r>
            <w:r>
              <w:rPr>
                <w:rFonts w:hint="eastAsia" w:ascii="华文宋体" w:hAnsi="华文宋体" w:eastAsia="华文宋体" w:cs="华文宋体"/>
                <w:color w:val="auto"/>
                <w:sz w:val="22"/>
                <w:highlight w:val="none"/>
              </w:rPr>
              <w:t>未经采购人提前书面允许不接受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675" w:type="dxa"/>
            <w:vMerge w:val="restart"/>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支持中小企业发展</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b/>
                <w:bCs/>
                <w:color w:val="auto"/>
                <w:sz w:val="22"/>
                <w:highlight w:val="none"/>
              </w:rPr>
              <w:sym w:font="Wingdings 2" w:char="0052"/>
            </w:r>
            <w:r>
              <w:rPr>
                <w:rFonts w:hint="eastAsia" w:ascii="华文宋体" w:hAnsi="华文宋体" w:eastAsia="华文宋体" w:cs="华文宋体"/>
                <w:color w:val="auto"/>
                <w:sz w:val="22"/>
                <w:highlight w:val="none"/>
              </w:rPr>
              <w:t>专门面向中小企业采购项目</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b/>
                <w:bCs/>
                <w:color w:val="auto"/>
                <w:sz w:val="22"/>
                <w:highlight w:val="none"/>
              </w:rPr>
              <w:t>□</w:t>
            </w:r>
            <w:r>
              <w:rPr>
                <w:rFonts w:hint="eastAsia" w:ascii="华文宋体" w:hAnsi="华文宋体" w:eastAsia="华文宋体" w:cs="华文宋体"/>
                <w:color w:val="auto"/>
                <w:sz w:val="22"/>
                <w:highlight w:val="none"/>
              </w:rPr>
              <w:t>非专门面向中小企业采购项目（价格扣除）：</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对小型和微型企业在价格评审时给予6%～10% 的扣除，用扣除后的价格参与评审。本项目的扣除比例为：10</w:t>
            </w:r>
            <w:r>
              <w:rPr>
                <w:rFonts w:hint="eastAsia" w:ascii="华文宋体" w:hAnsi="华文宋体" w:eastAsia="华文宋体" w:cs="华文宋体"/>
                <w:b/>
                <w:color w:val="auto"/>
                <w:sz w:val="22"/>
                <w:highlight w:val="none"/>
                <w:u w:val="single"/>
              </w:rPr>
              <w:t>%</w:t>
            </w:r>
            <w:r>
              <w:rPr>
                <w:rFonts w:hint="eastAsia" w:ascii="华文宋体" w:hAnsi="华文宋体" w:eastAsia="华文宋体" w:cs="华文宋体"/>
                <w:color w:val="auto"/>
                <w:sz w:val="22"/>
                <w:highlight w:val="none"/>
              </w:rPr>
              <w:t xml:space="preserve"> 。</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□非专门面向中小企业采购项目（其他优惠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675" w:type="dxa"/>
            <w:vMerge w:val="continue"/>
            <w:noWrap w:val="0"/>
            <w:vAlign w:val="center"/>
          </w:tcPr>
          <w:p>
            <w:pPr>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支持残疾人福利企业</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□专门面向残疾人福利企业采购项目</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b/>
                <w:bCs/>
                <w:color w:val="auto"/>
                <w:sz w:val="22"/>
                <w:highlight w:val="none"/>
              </w:rPr>
              <w:sym w:font="Wingdings 2" w:char="0052"/>
            </w:r>
            <w:r>
              <w:rPr>
                <w:rFonts w:hint="eastAsia" w:ascii="华文宋体" w:hAnsi="华文宋体" w:eastAsia="华文宋体" w:cs="华文宋体"/>
                <w:color w:val="auto"/>
                <w:sz w:val="22"/>
                <w:highlight w:val="none"/>
              </w:rPr>
              <w:t>非专门面向残疾人福利企业采购项目（价格扣除）：残疾人福利企业可视同小微企业在价格评审时给予 6%～10% 的扣除，用扣除后的价格参与评审。本项目的扣除比例为：10</w:t>
            </w:r>
            <w:r>
              <w:rPr>
                <w:rFonts w:hint="eastAsia" w:ascii="华文宋体" w:hAnsi="华文宋体" w:eastAsia="华文宋体" w:cs="华文宋体"/>
                <w:b/>
                <w:color w:val="auto"/>
                <w:sz w:val="22"/>
                <w:highlight w:val="none"/>
                <w:u w:val="single"/>
              </w:rPr>
              <w:t>%</w:t>
            </w:r>
            <w:r>
              <w:rPr>
                <w:rFonts w:hint="eastAsia" w:ascii="华文宋体" w:hAnsi="华文宋体" w:eastAsia="华文宋体" w:cs="华文宋体"/>
                <w:b/>
                <w:color w:val="auto"/>
                <w:sz w:val="22"/>
                <w:highlight w:val="none"/>
              </w:rPr>
              <w:t xml:space="preserve"> </w:t>
            </w:r>
            <w:r>
              <w:rPr>
                <w:rFonts w:hint="eastAsia" w:ascii="华文宋体" w:hAnsi="华文宋体" w:eastAsia="华文宋体" w:cs="华文宋体"/>
                <w:color w:val="auto"/>
                <w:sz w:val="22"/>
                <w:highlight w:val="none"/>
              </w:rPr>
              <w:t>。</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□非专门面向残疾人福利企业采购项目（其他优惠）：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center"/>
          </w:tcPr>
          <w:p>
            <w:pPr>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支持监狱企业</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□专门面向监狱企业采购项目</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b/>
                <w:bCs/>
                <w:color w:val="auto"/>
                <w:sz w:val="22"/>
                <w:highlight w:val="none"/>
              </w:rPr>
              <w:sym w:font="Wingdings 2" w:char="0052"/>
            </w:r>
            <w:r>
              <w:rPr>
                <w:rFonts w:hint="eastAsia" w:ascii="华文宋体" w:hAnsi="华文宋体" w:eastAsia="华文宋体" w:cs="华文宋体"/>
                <w:color w:val="auto"/>
                <w:sz w:val="22"/>
                <w:highlight w:val="none"/>
              </w:rPr>
              <w:t>非专门面向监狱企业采购项目（价格扣除）：监狱企业可视同小微企业在价格评审时给予 6%～10% 的扣除，用扣除后的价格参与评审。本项目的扣除比例为：10</w:t>
            </w:r>
            <w:r>
              <w:rPr>
                <w:rFonts w:hint="eastAsia" w:ascii="华文宋体" w:hAnsi="华文宋体" w:eastAsia="华文宋体" w:cs="华文宋体"/>
                <w:b/>
                <w:color w:val="auto"/>
                <w:sz w:val="22"/>
                <w:highlight w:val="none"/>
                <w:u w:val="single"/>
              </w:rPr>
              <w:t>%</w:t>
            </w:r>
            <w:r>
              <w:rPr>
                <w:rFonts w:hint="eastAsia" w:ascii="华文宋体" w:hAnsi="华文宋体" w:eastAsia="华文宋体" w:cs="华文宋体"/>
                <w:color w:val="auto"/>
                <w:sz w:val="22"/>
                <w:highlight w:val="none"/>
              </w:rPr>
              <w:t xml:space="preserve"> 。</w:t>
            </w:r>
          </w:p>
          <w:p>
            <w:pPr>
              <w:spacing w:after="24" w:afterLines="10"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□非专门面向监狱企业采购项目（其他优惠）：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响应供应商须提供的其他资料</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详见第六章 竞争性磋商响应文件格式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递交竞争性磋商响应文件的截止时间、地点</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时间：2023年</w:t>
            </w:r>
            <w:r>
              <w:rPr>
                <w:rFonts w:hint="eastAsia" w:ascii="华文宋体" w:hAnsi="华文宋体" w:eastAsia="华文宋体" w:cs="华文宋体"/>
                <w:color w:val="auto"/>
                <w:sz w:val="22"/>
                <w:highlight w:val="none"/>
                <w:lang w:val="en-US" w:eastAsia="zh-CN"/>
              </w:rPr>
              <w:t>5</w:t>
            </w:r>
            <w:r>
              <w:rPr>
                <w:rFonts w:hint="eastAsia" w:ascii="华文宋体" w:hAnsi="华文宋体" w:eastAsia="华文宋体" w:cs="华文宋体"/>
                <w:color w:val="auto"/>
                <w:sz w:val="22"/>
                <w:highlight w:val="none"/>
              </w:rPr>
              <w:t>月</w:t>
            </w:r>
            <w:r>
              <w:rPr>
                <w:rFonts w:hint="eastAsia" w:ascii="华文宋体" w:hAnsi="华文宋体" w:eastAsia="华文宋体" w:cs="华文宋体"/>
                <w:color w:val="auto"/>
                <w:sz w:val="22"/>
                <w:highlight w:val="none"/>
                <w:lang w:val="en-US" w:eastAsia="zh-CN"/>
              </w:rPr>
              <w:t>6</w:t>
            </w:r>
            <w:r>
              <w:rPr>
                <w:rFonts w:hint="eastAsia" w:ascii="华文宋体" w:hAnsi="华文宋体" w:eastAsia="华文宋体" w:cs="华文宋体"/>
                <w:color w:val="auto"/>
                <w:sz w:val="22"/>
                <w:highlight w:val="none"/>
              </w:rPr>
              <w:t xml:space="preserve">日 </w:t>
            </w:r>
            <w:r>
              <w:rPr>
                <w:rFonts w:hint="eastAsia" w:ascii="华文宋体" w:hAnsi="华文宋体" w:eastAsia="华文宋体" w:cs="华文宋体"/>
                <w:color w:val="auto"/>
                <w:sz w:val="22"/>
                <w:highlight w:val="none"/>
                <w:lang w:val="en-US" w:eastAsia="zh-CN"/>
              </w:rPr>
              <w:t>09</w:t>
            </w:r>
            <w:r>
              <w:rPr>
                <w:rFonts w:hint="eastAsia" w:ascii="华文宋体" w:hAnsi="华文宋体" w:eastAsia="华文宋体" w:cs="华文宋体"/>
                <w:color w:val="auto"/>
                <w:sz w:val="22"/>
                <w:highlight w:val="none"/>
              </w:rPr>
              <w:t xml:space="preserve"> 时 </w:t>
            </w:r>
            <w:r>
              <w:rPr>
                <w:rFonts w:hint="eastAsia" w:ascii="华文宋体" w:hAnsi="华文宋体" w:eastAsia="华文宋体" w:cs="华文宋体"/>
                <w:color w:val="auto"/>
                <w:sz w:val="22"/>
                <w:highlight w:val="none"/>
                <w:lang w:val="en-US" w:eastAsia="zh-CN"/>
              </w:rPr>
              <w:t>30</w:t>
            </w:r>
            <w:r>
              <w:rPr>
                <w:rFonts w:hint="eastAsia" w:ascii="华文宋体" w:hAnsi="华文宋体" w:eastAsia="华文宋体" w:cs="华文宋体"/>
                <w:color w:val="auto"/>
                <w:sz w:val="22"/>
                <w:highlight w:val="none"/>
              </w:rPr>
              <w:t xml:space="preserve"> 分（北京时间）</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地点：广州市天河区广州大道北613号城光大厦515室广东公采招标有限公司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竞争性磋商仪式时间、地点</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时间：2023年</w:t>
            </w:r>
            <w:r>
              <w:rPr>
                <w:rFonts w:hint="eastAsia" w:ascii="华文宋体" w:hAnsi="华文宋体" w:eastAsia="华文宋体" w:cs="华文宋体"/>
                <w:color w:val="auto"/>
                <w:sz w:val="22"/>
                <w:highlight w:val="none"/>
                <w:lang w:val="en-US" w:eastAsia="zh-CN"/>
              </w:rPr>
              <w:t>5</w:t>
            </w:r>
            <w:r>
              <w:rPr>
                <w:rFonts w:hint="eastAsia" w:ascii="华文宋体" w:hAnsi="华文宋体" w:eastAsia="华文宋体" w:cs="华文宋体"/>
                <w:color w:val="auto"/>
                <w:sz w:val="22"/>
                <w:highlight w:val="none"/>
              </w:rPr>
              <w:t>月</w:t>
            </w:r>
            <w:r>
              <w:rPr>
                <w:rFonts w:hint="eastAsia" w:ascii="华文宋体" w:hAnsi="华文宋体" w:eastAsia="华文宋体" w:cs="华文宋体"/>
                <w:color w:val="auto"/>
                <w:sz w:val="22"/>
                <w:highlight w:val="none"/>
                <w:lang w:val="en-US" w:eastAsia="zh-CN"/>
              </w:rPr>
              <w:t>6</w:t>
            </w:r>
            <w:r>
              <w:rPr>
                <w:rFonts w:hint="eastAsia" w:ascii="华文宋体" w:hAnsi="华文宋体" w:eastAsia="华文宋体" w:cs="华文宋体"/>
                <w:color w:val="auto"/>
                <w:sz w:val="22"/>
                <w:highlight w:val="none"/>
              </w:rPr>
              <w:t xml:space="preserve">日 </w:t>
            </w:r>
            <w:r>
              <w:rPr>
                <w:rFonts w:hint="eastAsia" w:ascii="华文宋体" w:hAnsi="华文宋体" w:eastAsia="华文宋体" w:cs="华文宋体"/>
                <w:color w:val="auto"/>
                <w:sz w:val="22"/>
                <w:highlight w:val="none"/>
                <w:lang w:val="en-US" w:eastAsia="zh-CN"/>
              </w:rPr>
              <w:t>09</w:t>
            </w:r>
            <w:r>
              <w:rPr>
                <w:rFonts w:hint="eastAsia" w:ascii="华文宋体" w:hAnsi="华文宋体" w:eastAsia="华文宋体" w:cs="华文宋体"/>
                <w:color w:val="auto"/>
                <w:sz w:val="22"/>
                <w:highlight w:val="none"/>
              </w:rPr>
              <w:t xml:space="preserve"> 时 </w:t>
            </w:r>
            <w:r>
              <w:rPr>
                <w:rFonts w:hint="eastAsia" w:ascii="华文宋体" w:hAnsi="华文宋体" w:eastAsia="华文宋体" w:cs="华文宋体"/>
                <w:color w:val="auto"/>
                <w:sz w:val="22"/>
                <w:highlight w:val="none"/>
                <w:lang w:val="en-US" w:eastAsia="zh-CN"/>
              </w:rPr>
              <w:t>30</w:t>
            </w:r>
            <w:r>
              <w:rPr>
                <w:rFonts w:hint="eastAsia" w:ascii="华文宋体" w:hAnsi="华文宋体" w:eastAsia="华文宋体" w:cs="华文宋体"/>
                <w:color w:val="auto"/>
                <w:sz w:val="22"/>
                <w:highlight w:val="none"/>
              </w:rPr>
              <w:t xml:space="preserve"> 分（北京时间）</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地点：广州市天河区广州大道北613号城光大厦515室广东公采招标有限公司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磋商保证金</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 xml:space="preserve">□要求提供  </w:t>
            </w:r>
            <w:r>
              <w:rPr>
                <w:rFonts w:hint="eastAsia" w:ascii="华文宋体" w:hAnsi="华文宋体" w:eastAsia="华文宋体" w:cs="华文宋体"/>
                <w:b/>
                <w:bCs/>
                <w:color w:val="auto"/>
                <w:sz w:val="22"/>
                <w:highlight w:val="none"/>
              </w:rPr>
              <w:sym w:font="Wingdings 2" w:char="0052"/>
            </w:r>
            <w:r>
              <w:rPr>
                <w:rFonts w:hint="eastAsia" w:ascii="华文宋体" w:hAnsi="华文宋体" w:eastAsia="华文宋体" w:cs="华文宋体"/>
                <w:color w:val="auto"/>
                <w:sz w:val="22"/>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报价是唯一或固定不变</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b/>
                <w:bCs/>
                <w:color w:val="auto"/>
                <w:sz w:val="22"/>
                <w:highlight w:val="none"/>
              </w:rPr>
              <w:sym w:font="Wingdings 2" w:char="0052"/>
            </w:r>
            <w:r>
              <w:rPr>
                <w:rFonts w:hint="eastAsia" w:ascii="华文宋体" w:hAnsi="华文宋体" w:eastAsia="华文宋体" w:cs="华文宋体"/>
                <w:color w:val="auto"/>
                <w:sz w:val="22"/>
                <w:highlight w:val="none"/>
              </w:rPr>
              <w:t>是  □不是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磋商响应有效期</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自磋商响应文件提交截止时间起90日（日历天）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竞争性磋商响应文件份数</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正本</w:t>
            </w:r>
            <w:r>
              <w:rPr>
                <w:rFonts w:hint="eastAsia" w:ascii="华文宋体" w:hAnsi="华文宋体" w:eastAsia="华文宋体" w:cs="华文宋体"/>
                <w:b/>
                <w:color w:val="auto"/>
                <w:sz w:val="22"/>
                <w:highlight w:val="none"/>
              </w:rPr>
              <w:t>1</w:t>
            </w:r>
            <w:r>
              <w:rPr>
                <w:rFonts w:hint="eastAsia" w:ascii="华文宋体" w:hAnsi="华文宋体" w:eastAsia="华文宋体" w:cs="华文宋体"/>
                <w:color w:val="auto"/>
                <w:sz w:val="22"/>
                <w:highlight w:val="none"/>
              </w:rPr>
              <w:t>份</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副本</w:t>
            </w:r>
            <w:r>
              <w:rPr>
                <w:rFonts w:hint="eastAsia" w:ascii="华文宋体" w:hAnsi="华文宋体" w:eastAsia="华文宋体" w:cs="华文宋体"/>
                <w:b/>
                <w:color w:val="auto"/>
                <w:sz w:val="22"/>
                <w:highlight w:val="none"/>
              </w:rPr>
              <w:t>3</w:t>
            </w:r>
            <w:r>
              <w:rPr>
                <w:rFonts w:hint="eastAsia" w:ascii="华文宋体" w:hAnsi="华文宋体" w:eastAsia="华文宋体" w:cs="华文宋体"/>
                <w:color w:val="auto"/>
                <w:sz w:val="22"/>
                <w:highlight w:val="none"/>
              </w:rPr>
              <w:t>份</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电子文件</w:t>
            </w:r>
            <w:r>
              <w:rPr>
                <w:rFonts w:hint="eastAsia" w:ascii="华文宋体" w:hAnsi="华文宋体" w:eastAsia="华文宋体" w:cs="华文宋体"/>
                <w:b/>
                <w:color w:val="auto"/>
                <w:sz w:val="22"/>
                <w:highlight w:val="none"/>
              </w:rPr>
              <w:t>1</w:t>
            </w:r>
            <w:r>
              <w:rPr>
                <w:rFonts w:hint="eastAsia" w:ascii="华文宋体" w:hAnsi="华文宋体" w:eastAsia="华文宋体" w:cs="华文宋体"/>
                <w:color w:val="auto"/>
                <w:sz w:val="22"/>
                <w:highlight w:val="none"/>
              </w:rPr>
              <w:t>份 （</w:t>
            </w:r>
            <w:r>
              <w:rPr>
                <w:rFonts w:hint="eastAsia" w:ascii="华文宋体" w:hAnsi="华文宋体" w:eastAsia="华文宋体" w:cs="华文宋体"/>
                <w:b/>
                <w:bCs/>
                <w:color w:val="auto"/>
                <w:sz w:val="22"/>
                <w:highlight w:val="none"/>
              </w:rPr>
              <w:sym w:font="Wingdings 2" w:char="0052"/>
            </w:r>
            <w:r>
              <w:rPr>
                <w:rFonts w:hint="eastAsia" w:ascii="华文宋体" w:hAnsi="华文宋体" w:eastAsia="华文宋体" w:cs="华文宋体"/>
                <w:color w:val="auto"/>
                <w:sz w:val="22"/>
                <w:highlight w:val="none"/>
              </w:rPr>
              <w:t xml:space="preserve">PDF, </w:t>
            </w:r>
            <w:r>
              <w:rPr>
                <w:rFonts w:hint="eastAsia" w:ascii="华文宋体" w:hAnsi="华文宋体" w:eastAsia="华文宋体" w:cs="华文宋体"/>
                <w:b/>
                <w:bCs/>
                <w:color w:val="auto"/>
                <w:sz w:val="22"/>
                <w:highlight w:val="none"/>
              </w:rPr>
              <w:sym w:font="Wingdings 2" w:char="0052"/>
            </w:r>
            <w:r>
              <w:rPr>
                <w:rFonts w:hint="eastAsia" w:ascii="华文宋体" w:hAnsi="华文宋体" w:eastAsia="华文宋体" w:cs="华文宋体"/>
                <w:color w:val="auto"/>
                <w:sz w:val="22"/>
                <w:highlight w:val="none"/>
              </w:rPr>
              <w:t>Word,可任选，可选用扫描件形式）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封套上应载明的信息</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项目名称：广东省广州市越秀区消防救援大队2023年消防车辆维修和保养服务采购项目</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 xml:space="preserve">项目编号:GDGC2304CS18 </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在2023年</w:t>
            </w:r>
            <w:r>
              <w:rPr>
                <w:rFonts w:hint="eastAsia" w:ascii="华文宋体" w:hAnsi="华文宋体" w:eastAsia="华文宋体" w:cs="华文宋体"/>
                <w:color w:val="auto"/>
                <w:sz w:val="22"/>
                <w:highlight w:val="none"/>
                <w:lang w:val="en-US" w:eastAsia="zh-CN"/>
              </w:rPr>
              <w:t>5</w:t>
            </w:r>
            <w:r>
              <w:rPr>
                <w:rFonts w:hint="eastAsia" w:ascii="华文宋体" w:hAnsi="华文宋体" w:eastAsia="华文宋体" w:cs="华文宋体"/>
                <w:color w:val="auto"/>
                <w:sz w:val="22"/>
                <w:highlight w:val="none"/>
              </w:rPr>
              <w:t>月</w:t>
            </w:r>
            <w:r>
              <w:rPr>
                <w:rFonts w:hint="eastAsia" w:ascii="华文宋体" w:hAnsi="华文宋体" w:eastAsia="华文宋体" w:cs="华文宋体"/>
                <w:color w:val="auto"/>
                <w:sz w:val="22"/>
                <w:highlight w:val="none"/>
                <w:lang w:val="en-US" w:eastAsia="zh-CN"/>
              </w:rPr>
              <w:t>6</w:t>
            </w:r>
            <w:r>
              <w:rPr>
                <w:rFonts w:hint="eastAsia" w:ascii="华文宋体" w:hAnsi="华文宋体" w:eastAsia="华文宋体" w:cs="华文宋体"/>
                <w:color w:val="auto"/>
                <w:sz w:val="22"/>
                <w:highlight w:val="none"/>
              </w:rPr>
              <w:t xml:space="preserve">日 </w:t>
            </w:r>
            <w:r>
              <w:rPr>
                <w:rFonts w:hint="eastAsia" w:ascii="华文宋体" w:hAnsi="华文宋体" w:eastAsia="华文宋体" w:cs="华文宋体"/>
                <w:color w:val="auto"/>
                <w:sz w:val="22"/>
                <w:highlight w:val="none"/>
                <w:lang w:val="en-US" w:eastAsia="zh-CN"/>
              </w:rPr>
              <w:t>09</w:t>
            </w:r>
            <w:r>
              <w:rPr>
                <w:rFonts w:hint="eastAsia" w:ascii="华文宋体" w:hAnsi="华文宋体" w:eastAsia="华文宋体" w:cs="华文宋体"/>
                <w:color w:val="auto"/>
                <w:sz w:val="22"/>
                <w:highlight w:val="none"/>
              </w:rPr>
              <w:t xml:space="preserve"> 时 </w:t>
            </w:r>
            <w:r>
              <w:rPr>
                <w:rFonts w:hint="eastAsia" w:ascii="华文宋体" w:hAnsi="华文宋体" w:eastAsia="华文宋体" w:cs="华文宋体"/>
                <w:color w:val="auto"/>
                <w:sz w:val="22"/>
                <w:highlight w:val="none"/>
                <w:lang w:val="en-US" w:eastAsia="zh-CN"/>
              </w:rPr>
              <w:t>30</w:t>
            </w:r>
            <w:r>
              <w:rPr>
                <w:rFonts w:hint="eastAsia" w:ascii="华文宋体" w:hAnsi="华文宋体" w:eastAsia="华文宋体" w:cs="华文宋体"/>
                <w:color w:val="auto"/>
                <w:sz w:val="22"/>
                <w:highlight w:val="none"/>
              </w:rPr>
              <w:t xml:space="preserve"> 分之前不得启封</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供应商名称（加盖公章）：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磋商小组</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b/>
                <w:bCs/>
                <w:color w:val="auto"/>
                <w:sz w:val="22"/>
                <w:highlight w:val="none"/>
              </w:rPr>
              <w:sym w:font="Wingdings 2" w:char="0052"/>
            </w:r>
            <w:r>
              <w:rPr>
                <w:rFonts w:hint="eastAsia" w:ascii="华文宋体" w:hAnsi="华文宋体" w:eastAsia="华文宋体" w:cs="华文宋体"/>
                <w:color w:val="auto"/>
                <w:sz w:val="22"/>
                <w:highlight w:val="none"/>
              </w:rPr>
              <w:t>采购人代表参加1人，评审专家2人</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□采购人代表不参加，评审专家3人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评审办法</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□最低评审价法</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b/>
                <w:bCs/>
                <w:color w:val="auto"/>
                <w:sz w:val="22"/>
                <w:highlight w:val="none"/>
              </w:rPr>
              <w:sym w:font="Wingdings 2" w:char="0052"/>
            </w:r>
            <w:r>
              <w:rPr>
                <w:rFonts w:hint="eastAsia" w:ascii="华文宋体" w:hAnsi="华文宋体" w:eastAsia="华文宋体" w:cs="华文宋体"/>
                <w:color w:val="auto"/>
                <w:sz w:val="22"/>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确定成交供应商原则</w:t>
            </w:r>
          </w:p>
        </w:tc>
        <w:tc>
          <w:tcPr>
            <w:tcW w:w="6548" w:type="dxa"/>
            <w:noWrap w:val="0"/>
            <w:vAlign w:val="center"/>
          </w:tcPr>
          <w:p>
            <w:pPr>
              <w:numPr>
                <w:ilvl w:val="0"/>
                <w:numId w:val="27"/>
              </w:numPr>
              <w:spacing w:line="350" w:lineRule="exact"/>
              <w:ind w:left="255" w:hanging="255"/>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采购人在评审报告确定的成交候选供应商名单中按顺序确定1位成交供应商；</w:t>
            </w:r>
          </w:p>
          <w:p>
            <w:pPr>
              <w:numPr>
                <w:ilvl w:val="0"/>
                <w:numId w:val="27"/>
              </w:numPr>
              <w:spacing w:line="350" w:lineRule="exact"/>
              <w:ind w:left="255" w:hanging="255"/>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成交候选供应商并列的，按照以下方式确定成交供应商：</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b/>
                <w:bCs/>
                <w:color w:val="auto"/>
                <w:sz w:val="22"/>
                <w:highlight w:val="none"/>
              </w:rPr>
              <w:sym w:font="Wingdings 2" w:char="0052"/>
            </w:r>
            <w:r>
              <w:rPr>
                <w:rFonts w:hint="eastAsia" w:ascii="华文宋体" w:hAnsi="华文宋体" w:eastAsia="华文宋体" w:cs="华文宋体"/>
                <w:color w:val="auto"/>
                <w:sz w:val="22"/>
                <w:highlight w:val="none"/>
              </w:rPr>
              <w:t>随机抽取</w:t>
            </w:r>
          </w:p>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□其他：采购人指定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采购资金的付款条件和付款方式</w:t>
            </w:r>
          </w:p>
        </w:tc>
        <w:tc>
          <w:tcPr>
            <w:tcW w:w="6548" w:type="dxa"/>
            <w:noWrap w:val="0"/>
            <w:vAlign w:val="center"/>
          </w:tcPr>
          <w:p>
            <w:pPr>
              <w:spacing w:line="350" w:lineRule="exact"/>
              <w:ind w:left="-18" w:leftChars="-10" w:right="-18" w:rightChars="-10"/>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（一）成交供应商于消防车辆维修验收之日起5个工作日内向采购人提出维修服务情况明细清单，采购人审核通过后，按  月  办理支付手续。</w:t>
            </w:r>
          </w:p>
          <w:p>
            <w:pPr>
              <w:spacing w:line="350" w:lineRule="exact"/>
              <w:ind w:left="-18" w:leftChars="-10" w:right="-18" w:rightChars="-10"/>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（二）成交供应商应在采购人办理支付手续前5个工作日内提供等额的正式发票给采购人，以便采购人及时办理支付手续。</w:t>
            </w:r>
          </w:p>
          <w:p>
            <w:pPr>
              <w:spacing w:line="350" w:lineRule="exact"/>
              <w:ind w:left="-18" w:leftChars="-10" w:right="-18" w:rightChars="-10"/>
              <w:rPr>
                <w:rFonts w:hint="eastAsia" w:ascii="华文宋体" w:hAnsi="华文宋体" w:eastAsia="华文宋体" w:cs="华文宋体"/>
                <w:color w:val="auto"/>
                <w:sz w:val="22"/>
                <w:highlight w:val="none"/>
                <w:lang w:eastAsia="zh-CN"/>
              </w:rPr>
            </w:pPr>
            <w:r>
              <w:rPr>
                <w:rFonts w:hint="eastAsia" w:ascii="华文宋体" w:hAnsi="华文宋体" w:eastAsia="华文宋体" w:cs="华文宋体"/>
                <w:color w:val="auto"/>
                <w:sz w:val="22"/>
                <w:highlight w:val="none"/>
              </w:rPr>
              <w:t>（三）因采购人使用的是财政资金，采购人在前款规定的付款时间为向政府采购支付部门提出办理财政支付申请手续的时间（不含政府财政支付部门审核的时间），在规定时间内提出支付申请手续后即视为采购人已经按期支付。如维修金额较大、时间长的项目，双方可商议二次或二次以上付款。由于财政审批手续导致款项到账延迟、或成交供应商未及时准确提供请款所需的相关文件导致成交供应商收款延误的，采购人不承担责任</w:t>
            </w:r>
            <w:r>
              <w:rPr>
                <w:rFonts w:hint="eastAsia" w:ascii="华文宋体" w:hAnsi="华文宋体" w:eastAsia="华文宋体" w:cs="华文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noWrap w:val="0"/>
            <w:vAlign w:val="center"/>
          </w:tcPr>
          <w:p>
            <w:pPr>
              <w:numPr>
                <w:ilvl w:val="0"/>
                <w:numId w:val="25"/>
              </w:numPr>
              <w:tabs>
                <w:tab w:val="left" w:pos="420"/>
              </w:tabs>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履约保证金</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 xml:space="preserve">□要求提供  </w:t>
            </w:r>
            <w:r>
              <w:rPr>
                <w:rFonts w:hint="eastAsia" w:ascii="华文宋体" w:hAnsi="华文宋体" w:eastAsia="华文宋体" w:cs="华文宋体"/>
                <w:b/>
                <w:bCs/>
                <w:color w:val="auto"/>
                <w:sz w:val="22"/>
                <w:highlight w:val="none"/>
              </w:rPr>
              <w:sym w:font="Wingdings 2" w:char="0052"/>
            </w:r>
            <w:r>
              <w:rPr>
                <w:rFonts w:hint="eastAsia" w:ascii="华文宋体" w:hAnsi="华文宋体" w:eastAsia="华文宋体" w:cs="华文宋体"/>
                <w:color w:val="auto"/>
                <w:sz w:val="22"/>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675" w:type="dxa"/>
            <w:noWrap w:val="0"/>
            <w:vAlign w:val="center"/>
          </w:tcPr>
          <w:p>
            <w:pPr>
              <w:numPr>
                <w:ilvl w:val="0"/>
                <w:numId w:val="25"/>
              </w:numPr>
              <w:spacing w:line="350" w:lineRule="exact"/>
              <w:rPr>
                <w:rFonts w:hint="eastAsia" w:ascii="华文宋体" w:hAnsi="华文宋体" w:eastAsia="华文宋体" w:cs="华文宋体"/>
                <w:color w:val="auto"/>
                <w:sz w:val="22"/>
                <w:highlight w:val="none"/>
              </w:rPr>
            </w:pPr>
          </w:p>
        </w:tc>
        <w:tc>
          <w:tcPr>
            <w:tcW w:w="1998" w:type="dxa"/>
            <w:noWrap w:val="0"/>
            <w:vAlign w:val="center"/>
          </w:tcPr>
          <w:p>
            <w:pPr>
              <w:spacing w:line="35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采购代理服务费</w:t>
            </w:r>
          </w:p>
        </w:tc>
        <w:tc>
          <w:tcPr>
            <w:tcW w:w="6548" w:type="dxa"/>
            <w:noWrap w:val="0"/>
            <w:vAlign w:val="center"/>
          </w:tcPr>
          <w:p>
            <w:pPr>
              <w:spacing w:line="35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根据《国家发展改革委关于进一步放开建设项目专业服务价格的通知》(发改价格(2015)299号)及《政府采购代理机构管理暂行办法》(财库〔2018〕2号)，代理服务费</w:t>
            </w:r>
            <w:r>
              <w:rPr>
                <w:rFonts w:hint="eastAsia" w:ascii="华文宋体" w:hAnsi="华文宋体" w:eastAsia="华文宋体" w:cs="华文宋体"/>
                <w:color w:val="auto"/>
                <w:sz w:val="23"/>
                <w:szCs w:val="23"/>
                <w:highlight w:val="none"/>
                <w:lang w:val="en-US" w:eastAsia="zh-CN"/>
              </w:rPr>
              <w:t>向成交人收取，</w:t>
            </w:r>
            <w:r>
              <w:rPr>
                <w:rFonts w:hint="eastAsia" w:ascii="华文宋体" w:hAnsi="华文宋体" w:eastAsia="华文宋体" w:cs="华文宋体"/>
                <w:color w:val="auto"/>
                <w:sz w:val="22"/>
                <w:highlight w:val="none"/>
              </w:rPr>
              <w:t>以成交金额为计算基数，服务类项目计费标准下浮20%计费。</w:t>
            </w:r>
          </w:p>
        </w:tc>
      </w:tr>
    </w:tbl>
    <w:p>
      <w:pPr>
        <w:spacing w:line="240" w:lineRule="exact"/>
        <w:jc w:val="center"/>
        <w:outlineLvl w:val="1"/>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color w:val="auto"/>
          <w:sz w:val="36"/>
          <w:szCs w:val="36"/>
          <w:highlight w:val="none"/>
        </w:rPr>
        <w:br w:type="page"/>
      </w:r>
    </w:p>
    <w:p>
      <w:pPr>
        <w:jc w:val="center"/>
        <w:outlineLvl w:val="1"/>
        <w:rPr>
          <w:rFonts w:hint="eastAsia" w:ascii="华文宋体" w:hAnsi="华文宋体" w:eastAsia="华文宋体" w:cs="华文宋体"/>
          <w:b/>
          <w:color w:val="auto"/>
          <w:sz w:val="36"/>
          <w:szCs w:val="36"/>
          <w:highlight w:val="none"/>
        </w:rPr>
      </w:pPr>
      <w:r>
        <w:rPr>
          <w:rFonts w:hint="eastAsia" w:ascii="华文宋体" w:hAnsi="华文宋体" w:eastAsia="华文宋体" w:cs="华文宋体"/>
          <w:b/>
          <w:color w:val="auto"/>
          <w:sz w:val="36"/>
          <w:szCs w:val="36"/>
          <w:highlight w:val="none"/>
        </w:rPr>
        <w:t>供应商须知正文</w:t>
      </w:r>
    </w:p>
    <w:p>
      <w:pPr>
        <w:spacing w:after="120" w:afterLines="50" w:line="500" w:lineRule="exact"/>
        <w:jc w:val="center"/>
        <w:outlineLvl w:val="2"/>
        <w:rPr>
          <w:rFonts w:hint="eastAsia" w:ascii="华文宋体" w:hAnsi="华文宋体" w:eastAsia="华文宋体" w:cs="华文宋体"/>
          <w:color w:val="auto"/>
          <w:sz w:val="28"/>
          <w:szCs w:val="28"/>
          <w:highlight w:val="none"/>
        </w:rPr>
      </w:pPr>
      <w:r>
        <w:rPr>
          <w:rFonts w:hint="eastAsia" w:ascii="华文宋体" w:hAnsi="华文宋体" w:eastAsia="华文宋体" w:cs="华文宋体"/>
          <w:color w:val="auto"/>
          <w:sz w:val="28"/>
          <w:szCs w:val="28"/>
          <w:highlight w:val="none"/>
        </w:rPr>
        <w:t>（固定条款）</w:t>
      </w:r>
    </w:p>
    <w:p>
      <w:pPr>
        <w:spacing w:line="410" w:lineRule="exact"/>
        <w:outlineLvl w:val="2"/>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b/>
          <w:color w:val="auto"/>
          <w:sz w:val="23"/>
          <w:szCs w:val="23"/>
          <w:highlight w:val="none"/>
        </w:rPr>
        <w:t>一、总则</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定义</w:t>
      </w:r>
    </w:p>
    <w:p>
      <w:pPr>
        <w:numPr>
          <w:ilvl w:val="0"/>
          <w:numId w:val="29"/>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“采购人”是指依法进行政府采购的国家机关、事业单位、团体组织。本次政府采购的采购人名称、地址、电话、联系人见供应商须知前附表。</w:t>
      </w:r>
    </w:p>
    <w:p>
      <w:pPr>
        <w:numPr>
          <w:ilvl w:val="0"/>
          <w:numId w:val="29"/>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“采购代理机构”是指接受采购人委托，代理采购项目的集中采购机构和其他采购代理机构。本次政府采购的采购代理机构名称、地址、电话、联系人见供应商须知前附表。</w:t>
      </w:r>
    </w:p>
    <w:p>
      <w:pPr>
        <w:numPr>
          <w:ilvl w:val="0"/>
          <w:numId w:val="29"/>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“供应商”是指响应磋商文件要求、参加竞争性磋商采购的法人、其他组织或者自然人。本次政府采购项目邀请的供应商通过供应商须知前附表所述方式产生。</w:t>
      </w:r>
    </w:p>
    <w:p>
      <w:pPr>
        <w:numPr>
          <w:ilvl w:val="0"/>
          <w:numId w:val="29"/>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“磋商小组”是依据《政府采购竞争性磋商采购方式管理暂行办法》有关规定组建，依法履行竞争性磋商采购活动职责的3人以上单数的磋商成员。</w:t>
      </w:r>
    </w:p>
    <w:p>
      <w:pPr>
        <w:numPr>
          <w:ilvl w:val="0"/>
          <w:numId w:val="29"/>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“产品”是指各种形态和种类的产品，包括原材料、燃料、设备、产品等。</w:t>
      </w:r>
    </w:p>
    <w:p>
      <w:pPr>
        <w:numPr>
          <w:ilvl w:val="0"/>
          <w:numId w:val="29"/>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“服务”是指除产品和工程以外的其他政府采购对象。</w:t>
      </w:r>
    </w:p>
    <w:p>
      <w:pPr>
        <w:numPr>
          <w:ilvl w:val="0"/>
          <w:numId w:val="29"/>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“节能产品”或者“环保产品”是指国务院有关部门发布的《节能产品政府采购清单》或者《环境标志产品政府采购清单》的产品。</w:t>
      </w:r>
    </w:p>
    <w:p>
      <w:pPr>
        <w:numPr>
          <w:ilvl w:val="0"/>
          <w:numId w:val="29"/>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“进口产品”是指通过中国海关报关验放进入中国境内且产自关境外的产品。</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磋商项目预算</w:t>
      </w:r>
    </w:p>
    <w:p>
      <w:pPr>
        <w:numPr>
          <w:ilvl w:val="0"/>
          <w:numId w:val="30"/>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本项目采购资金已列入政府采购预算，预算金额见供应商须知前附表。</w:t>
      </w:r>
    </w:p>
    <w:p>
      <w:pPr>
        <w:numPr>
          <w:ilvl w:val="0"/>
          <w:numId w:val="30"/>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本项目最高限价要求见供应商须知前附表。</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供应商的资格要求</w:t>
      </w:r>
    </w:p>
    <w:p>
      <w:pPr>
        <w:numPr>
          <w:ilvl w:val="0"/>
          <w:numId w:val="31"/>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供应商应当符合供应商须知前附表中规定的下列资格条件要求：</w:t>
      </w:r>
    </w:p>
    <w:p>
      <w:pPr>
        <w:numPr>
          <w:ilvl w:val="0"/>
          <w:numId w:val="32"/>
        </w:numPr>
        <w:spacing w:line="410" w:lineRule="exact"/>
        <w:ind w:left="0" w:firstLine="0"/>
        <w:outlineLvl w:val="5"/>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符合《政府采购法》第二十二条规定的供应商条件：</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3.1.1.1具有独立承担民事责任的能力；</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3.1.1.2具有良好的商业信誉和健全的财务会计制度；</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3.1.1.3具有履行合同所必需的设备和专业技术能力；</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3.1.1.4有依法缴纳税收和社会保障资金的良好记录；</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3.1.1.5参加政府采购活动前三年内，在经营活动中没有重大违法记录；</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3.1.1.6政府采购法律法规相关规定的其他条件。</w:t>
      </w:r>
    </w:p>
    <w:p>
      <w:pPr>
        <w:numPr>
          <w:ilvl w:val="0"/>
          <w:numId w:val="32"/>
        </w:numPr>
        <w:spacing w:line="410" w:lineRule="exact"/>
        <w:ind w:left="0" w:firstLine="0"/>
        <w:outlineLvl w:val="5"/>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其他特定资格条件。（详见供应商须知前附表）</w:t>
      </w:r>
    </w:p>
    <w:p>
      <w:pPr>
        <w:numPr>
          <w:ilvl w:val="0"/>
          <w:numId w:val="31"/>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供应商存在下列情形之一的不得参加竞争性磋商：</w:t>
      </w:r>
    </w:p>
    <w:p>
      <w:pPr>
        <w:numPr>
          <w:ilvl w:val="0"/>
          <w:numId w:val="33"/>
        </w:numPr>
        <w:spacing w:line="410" w:lineRule="exact"/>
        <w:ind w:left="0" w:firstLine="0"/>
        <w:outlineLvl w:val="5"/>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单位负责人为同一人或者存在直接控股、管理关系的不同供应商，不得参加同一合同项下的政府采购活动。为磋商项目提供整体设计、规范编制或者项目管理、监理、检测等服务的供应商，不得再参加该磋商项目的其他采购活动。</w:t>
      </w:r>
    </w:p>
    <w:p>
      <w:pPr>
        <w:numPr>
          <w:ilvl w:val="0"/>
          <w:numId w:val="33"/>
        </w:numPr>
        <w:spacing w:line="410" w:lineRule="exact"/>
        <w:ind w:left="0" w:firstLine="0"/>
        <w:outlineLvl w:val="5"/>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因违法经营受到刑事处罚或者责令停产停业、吊销许可证或者执照、较大数额罚款等行政处罚，或者存在财政部门认定的其他重大违法记录，以及在财政部门禁止参加政府采购活动期限以内的。</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参与磋商的费用</w:t>
      </w:r>
    </w:p>
    <w:p>
      <w:pPr>
        <w:numPr>
          <w:ilvl w:val="0"/>
          <w:numId w:val="34"/>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无论磋商的结果如何，供应商应自行承担所有与竞争性磋商采购活动有关的全部费用，采购人或者采购代理机构均无义务和责任承担这些费用。</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授权委托</w:t>
      </w:r>
    </w:p>
    <w:p>
      <w:pPr>
        <w:numPr>
          <w:ilvl w:val="0"/>
          <w:numId w:val="35"/>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供应商代表为供应商法定代表人的，应当持有法定代表人身份证明，供应商代表不是供应商法定代表人的，应当持有法定代表人授权委托书，并附授权代表的身份证明。</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联合体形式</w:t>
      </w:r>
    </w:p>
    <w:p>
      <w:pPr>
        <w:numPr>
          <w:ilvl w:val="0"/>
          <w:numId w:val="36"/>
        </w:numPr>
        <w:spacing w:line="410" w:lineRule="exact"/>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本项目是否接受联合体形式参与详见供应商须知前附表。</w:t>
      </w:r>
    </w:p>
    <w:p>
      <w:pPr>
        <w:numPr>
          <w:ilvl w:val="0"/>
          <w:numId w:val="36"/>
        </w:numPr>
        <w:spacing w:line="410" w:lineRule="exact"/>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供应商为联合体形式的，应遵守以下规定：</w:t>
      </w:r>
    </w:p>
    <w:p>
      <w:pPr>
        <w:numPr>
          <w:ilvl w:val="0"/>
          <w:numId w:val="37"/>
        </w:num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联合体各方必须签订联合体协议书，明确联合体牵头人和各方权利、义务及分工、合同工作量比例；</w:t>
      </w:r>
    </w:p>
    <w:p>
      <w:pPr>
        <w:numPr>
          <w:ilvl w:val="0"/>
          <w:numId w:val="37"/>
        </w:num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联合体各方均应当符合供应商须知前附表规定的供应商基本资格条件；</w:t>
      </w:r>
    </w:p>
    <w:p>
      <w:pPr>
        <w:numPr>
          <w:ilvl w:val="0"/>
          <w:numId w:val="37"/>
        </w:num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联合体中有同类资质的供应商按照联合体分工承担相同工作的，应当按照资质等级较低的供应商确定资质等级；</w:t>
      </w:r>
    </w:p>
    <w:p>
      <w:pPr>
        <w:numPr>
          <w:ilvl w:val="0"/>
          <w:numId w:val="37"/>
        </w:num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联合体各方不得再单独或与其他供应商组成新的联合体参加同一项目的采购活动。</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项目现场考察及答疑会</w:t>
      </w:r>
    </w:p>
    <w:p>
      <w:pPr>
        <w:numPr>
          <w:ilvl w:val="0"/>
          <w:numId w:val="38"/>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 xml:space="preserve"> 本项目是否组织现场考察详见供应商须知前附表。</w:t>
      </w:r>
    </w:p>
    <w:p>
      <w:pPr>
        <w:numPr>
          <w:ilvl w:val="0"/>
          <w:numId w:val="38"/>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 xml:space="preserve"> 供应商应按供应商须知前附表中规定的时间及地点，对磋商项目现场和周围环境进行考察。供应商未在指定时间进行考察的，采购人不再另行组织。</w:t>
      </w:r>
    </w:p>
    <w:p>
      <w:pPr>
        <w:numPr>
          <w:ilvl w:val="0"/>
          <w:numId w:val="38"/>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 xml:space="preserve"> 考察现场的费用由供应商自己承担，考察期间所发生的人身伤害及财产损失由供应商自己负责。</w:t>
      </w:r>
    </w:p>
    <w:p>
      <w:pPr>
        <w:numPr>
          <w:ilvl w:val="0"/>
          <w:numId w:val="38"/>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 xml:space="preserve"> 采购人不对供应商据此而做出的推论、理解和结论负责。一旦成交，供应商不得以任何借口，提出额外补偿，或延长合同期限的要求。</w:t>
      </w:r>
    </w:p>
    <w:p>
      <w:pPr>
        <w:numPr>
          <w:ilvl w:val="0"/>
          <w:numId w:val="38"/>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 xml:space="preserve"> 本项目是否召开答疑会详见供应商须知前附表。</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采购进口产品</w:t>
      </w:r>
    </w:p>
    <w:p>
      <w:pPr>
        <w:numPr>
          <w:ilvl w:val="0"/>
          <w:numId w:val="39"/>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本项目是否采购进口产品及相关要求见供应商须知前附表。</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政府采购政策支持与其他规定</w:t>
      </w:r>
    </w:p>
    <w:p>
      <w:pPr>
        <w:numPr>
          <w:ilvl w:val="0"/>
          <w:numId w:val="40"/>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 xml:space="preserve"> 产品属于政府强制采购节能产品范围，必须将是否获得国家确定的认证机构出具的、处于有效期之内的节能产品认证证书、环境标志产品认证证书作为采购产品的资格条件。本项目的详细要求见供应商须知前附表。</w:t>
      </w:r>
    </w:p>
    <w:p>
      <w:pPr>
        <w:numPr>
          <w:ilvl w:val="0"/>
          <w:numId w:val="40"/>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 xml:space="preserve"> 供应商所提供设备属于政府采购节能产品、环境标志产品实施品目清单范围的，依据国家确定的认证机构出具的、处于有效期之内的节能产品认证证书、环境标志产品认证证书，对获得证书的产品实施优先采购。</w:t>
      </w:r>
    </w:p>
    <w:p>
      <w:pPr>
        <w:numPr>
          <w:ilvl w:val="0"/>
          <w:numId w:val="40"/>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 xml:space="preserve"> 供应商享受支持中小企业发展政策优惠的，可用扣除后的最后报价参与价格比较。本项目价格扣除比例及相关要求见供应商须知前附表。</w:t>
      </w:r>
    </w:p>
    <w:p>
      <w:pPr>
        <w:numPr>
          <w:ilvl w:val="0"/>
          <w:numId w:val="40"/>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 xml:space="preserve"> 残疾人福利企业、监狱企业视同小型、微型企业，享受促进中小企业发展政策优惠，可用扣除后的最后报价参与价格比较。本项目价格扣除比例及相关要求见供应商须知前附表。</w:t>
      </w:r>
    </w:p>
    <w:p>
      <w:pPr>
        <w:numPr>
          <w:ilvl w:val="0"/>
          <w:numId w:val="40"/>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 xml:space="preserve"> 采购人使用财政性资金采购信息安全产品的，应当采购经国家认证的信息安全产品，应当在竞争性磋商文件中载明对产品获得信息安全认证的要求，并要求产品供应商提供由中国信息安全认证中心按国家标准认证颁发的有效认证证书。本项目的详细要求见供应商须知前附表。</w:t>
      </w:r>
    </w:p>
    <w:p>
      <w:pPr>
        <w:numPr>
          <w:ilvl w:val="0"/>
          <w:numId w:val="40"/>
        </w:numPr>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 xml:space="preserve"> 其他法律法规强制性规定或扶持政策。本项目的详细要求见供应商须知前附表。</w:t>
      </w:r>
    </w:p>
    <w:p>
      <w:pPr>
        <w:pStyle w:val="47"/>
        <w:spacing w:line="410" w:lineRule="exact"/>
        <w:rPr>
          <w:rFonts w:hint="eastAsia" w:ascii="华文宋体" w:hAnsi="华文宋体" w:eastAsia="华文宋体" w:cs="华文宋体"/>
          <w:color w:val="auto"/>
          <w:highlight w:val="none"/>
        </w:rPr>
      </w:pPr>
    </w:p>
    <w:p>
      <w:pPr>
        <w:spacing w:line="410" w:lineRule="exact"/>
        <w:outlineLvl w:val="2"/>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二、</w:t>
      </w:r>
      <w:r>
        <w:rPr>
          <w:rFonts w:hint="eastAsia" w:ascii="华文宋体" w:hAnsi="华文宋体" w:eastAsia="华文宋体" w:cs="华文宋体"/>
          <w:b/>
          <w:color w:val="auto"/>
          <w:sz w:val="23"/>
          <w:szCs w:val="23"/>
          <w:highlight w:val="none"/>
        </w:rPr>
        <w:t>竞争性磋商文件</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竞争性磋商文件的组成：</w:t>
      </w:r>
    </w:p>
    <w:p>
      <w:pPr>
        <w:numPr>
          <w:ilvl w:val="0"/>
          <w:numId w:val="41"/>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竞争性磋商文件各章节的内容如下：</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第一章 磋商邀请</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第二章 项目采购需求</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第三章 供应商须知</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第四章 评审办法及标准</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第五章 拟签订的合同文本</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第六章 竞争性磋商响应文件格式</w:t>
      </w:r>
    </w:p>
    <w:p>
      <w:pPr>
        <w:numPr>
          <w:ilvl w:val="0"/>
          <w:numId w:val="41"/>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供应商须知前附表规定的提交首次响应文件截止时间前，对磋商文件进行澄清或者修改的内容，为磋商文件的组成部分。</w:t>
      </w:r>
    </w:p>
    <w:p>
      <w:pPr>
        <w:numPr>
          <w:ilvl w:val="0"/>
          <w:numId w:val="41"/>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磋商小组根据与供应商磋商情况可能实质性变动的内容，包括采购需求中的技术、服务要求以及合同草案条款，对磋商文件作出的实质性变动是磋商文件的有效组成部分。</w:t>
      </w:r>
    </w:p>
    <w:p>
      <w:pPr>
        <w:numPr>
          <w:ilvl w:val="0"/>
          <w:numId w:val="41"/>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供应商应仔细阅读竞争性磋商文件的全部内容，按照竞争性磋商文件要求编制磋商响应文件。任何对竞争性磋商文件的忽略或误解，不能作为磋商响应文件存在缺陷或瑕疵的理由，其风险由供应商承担。</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竞争性磋商文件的澄清或者修改</w:t>
      </w:r>
    </w:p>
    <w:p>
      <w:pPr>
        <w:numPr>
          <w:ilvl w:val="0"/>
          <w:numId w:val="42"/>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在供应商须知前附表规定的提交首次磋商响应文件截止之日前，采购人、采购代理机构或者磋商小组可以对已发出的磋商文件进行必要的澄清或者修改。</w:t>
      </w:r>
    </w:p>
    <w:p>
      <w:pPr>
        <w:numPr>
          <w:ilvl w:val="0"/>
          <w:numId w:val="42"/>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澄清或者修改的内容可能影响响应文件编制的，采购人、采购代理机构应当在供应商须知前附表规定的提交首次磋商响应文件截止之日5日前，以书面形式通知所有接收磋商文件的供应商，不足5日的，顺延供应商提交首次磋商响应文件截止时间。</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偏离</w:t>
      </w:r>
    </w:p>
    <w:p>
      <w:pPr>
        <w:numPr>
          <w:ilvl w:val="0"/>
          <w:numId w:val="43"/>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本条所称偏离为磋商响应文件对竞争性磋商文件的偏离，即不满足或不响应竞争性磋商文件的要求。偏离分为实质性和非实质性要求条款偏离。</w:t>
      </w:r>
    </w:p>
    <w:p>
      <w:pPr>
        <w:numPr>
          <w:ilvl w:val="0"/>
          <w:numId w:val="43"/>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除政府采购法律法规相关规定外，竞争性磋商文件中用“拒绝”、“不接受”、“无效”、“不得”、“必须”、“应当”等文字规定或标注“★”符号的条款为实质性要求条款（即重要条款），对其中任何一条的偏离，在评审时将其视为无效响应。</w:t>
      </w:r>
    </w:p>
    <w:p>
      <w:pPr>
        <w:pStyle w:val="47"/>
        <w:spacing w:line="410" w:lineRule="exact"/>
        <w:rPr>
          <w:rFonts w:hint="eastAsia" w:ascii="华文宋体" w:hAnsi="华文宋体" w:eastAsia="华文宋体" w:cs="华文宋体"/>
          <w:color w:val="auto"/>
          <w:highlight w:val="none"/>
        </w:rPr>
      </w:pPr>
    </w:p>
    <w:p>
      <w:pPr>
        <w:spacing w:line="410" w:lineRule="exact"/>
        <w:outlineLvl w:val="2"/>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三、</w:t>
      </w:r>
      <w:r>
        <w:rPr>
          <w:rFonts w:hint="eastAsia" w:ascii="华文宋体" w:hAnsi="华文宋体" w:eastAsia="华文宋体" w:cs="华文宋体"/>
          <w:b/>
          <w:color w:val="auto"/>
          <w:sz w:val="23"/>
          <w:szCs w:val="23"/>
          <w:highlight w:val="none"/>
        </w:rPr>
        <w:t>磋商响应文件</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一般要求</w:t>
      </w:r>
    </w:p>
    <w:p>
      <w:pPr>
        <w:numPr>
          <w:ilvl w:val="0"/>
          <w:numId w:val="44"/>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供应商应仔细阅读竞争性磋商文件的所有内容，按竞争性磋商文件的要求编制磋商响应文件，并保证所提供的全部资料的真实性，以使其磋商响应文件对竞争性磋商文件做出实质性的响应。</w:t>
      </w:r>
    </w:p>
    <w:p>
      <w:pPr>
        <w:numPr>
          <w:ilvl w:val="0"/>
          <w:numId w:val="44"/>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供应商提交的磋商响应文件及供应商与采购人或采购代理机构、磋商小组就有关磋商的所有来往函电必须使用中文。供应商可以提交其他语言的资料，但应附有中文注释，有差异时以中文为准。</w:t>
      </w:r>
    </w:p>
    <w:p>
      <w:pPr>
        <w:numPr>
          <w:ilvl w:val="0"/>
          <w:numId w:val="44"/>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除技术要求另有规定外，本文件所要求使用的计量单位均采用国家法定的度、量、衡标准单位计量。未列明时亦默认为我国法定计量单位。</w:t>
      </w:r>
    </w:p>
    <w:p>
      <w:pPr>
        <w:numPr>
          <w:ilvl w:val="0"/>
          <w:numId w:val="44"/>
        </w:numPr>
        <w:tabs>
          <w:tab w:val="left" w:pos="64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供应商应按竞争性磋商文件中提供的磋商响应文件格式填写。</w:t>
      </w:r>
    </w:p>
    <w:p>
      <w:pPr>
        <w:numPr>
          <w:ilvl w:val="0"/>
          <w:numId w:val="44"/>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磋商响应文件应采用书面形式，如无特殊声明，以幅面为ISO 216（纸张国际化标准尺寸）A4规格印刷或装订。</w:t>
      </w:r>
    </w:p>
    <w:p>
      <w:pPr>
        <w:numPr>
          <w:ilvl w:val="0"/>
          <w:numId w:val="44"/>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磋商响应文件特殊部分需要使用更大幅面的，必须折叠入A4幅面内装订提交。</w:t>
      </w:r>
    </w:p>
    <w:p>
      <w:pPr>
        <w:numPr>
          <w:ilvl w:val="0"/>
          <w:numId w:val="44"/>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竞争性磋商文件中要求提供电子版的，必须按要求提供。</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磋商响应文件的组成（采购人可根据实际情况对以下项目标注★）</w:t>
      </w:r>
    </w:p>
    <w:p>
      <w:pPr>
        <w:numPr>
          <w:ilvl w:val="0"/>
          <w:numId w:val="45"/>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磋商响应文件包括但不限于下列内容：</w:t>
      </w:r>
    </w:p>
    <w:p>
      <w:pPr>
        <w:numPr>
          <w:ilvl w:val="0"/>
          <w:numId w:val="46"/>
        </w:numPr>
        <w:spacing w:line="410" w:lineRule="exact"/>
        <w:ind w:left="0" w:firstLine="0"/>
        <w:outlineLvl w:val="5"/>
        <w:rPr>
          <w:rFonts w:hint="eastAsia" w:ascii="华文宋体" w:hAnsi="华文宋体" w:eastAsia="华文宋体" w:cs="华文宋体"/>
          <w:color w:val="auto"/>
          <w:sz w:val="23"/>
          <w:szCs w:val="23"/>
          <w:highlight w:val="none"/>
        </w:rPr>
      </w:pPr>
      <w:bookmarkStart w:id="87" w:name="_Hlk517378401"/>
      <w:r>
        <w:rPr>
          <w:rFonts w:hint="eastAsia" w:ascii="华文宋体" w:hAnsi="华文宋体" w:eastAsia="华文宋体" w:cs="华文宋体"/>
          <w:color w:val="auto"/>
          <w:sz w:val="23"/>
          <w:szCs w:val="23"/>
          <w:highlight w:val="none"/>
        </w:rPr>
        <w:t>初步评审文件</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14.1.1.1供应商符合资格条件的证明文件；</w:t>
      </w:r>
    </w:p>
    <w:p>
      <w:pPr>
        <w:tabs>
          <w:tab w:val="left" w:pos="420"/>
        </w:tabs>
        <w:spacing w:line="410" w:lineRule="exact"/>
        <w:outlineLvl w:val="5"/>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14.1.1.2《具有履行合同所必需的设备和专业技术能力声明函》；</w:t>
      </w:r>
    </w:p>
    <w:p>
      <w:pPr>
        <w:tabs>
          <w:tab w:val="left" w:pos="420"/>
        </w:tabs>
        <w:spacing w:line="410" w:lineRule="exact"/>
        <w:outlineLvl w:val="5"/>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14.1.1.3《公平竞争承诺书》；</w:t>
      </w:r>
    </w:p>
    <w:p>
      <w:pPr>
        <w:tabs>
          <w:tab w:val="left" w:pos="420"/>
        </w:tabs>
        <w:spacing w:line="410" w:lineRule="exact"/>
        <w:outlineLvl w:val="5"/>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14.1.1.4《参加政府采购活动前三年内在经营活动中没有重大违法记录的声明函》；</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14.1.1.5竞争性磋商响应声明（含法定代表人身份证明或法定代表人签署的授权委托书）；</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14.1.1.6实质性响应条款一览表；</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14.1.1.7供应商须知前附表要求供应商提供的其他资料；</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14.1.1.8供应商认为需提供的其他资料。</w:t>
      </w:r>
    </w:p>
    <w:p>
      <w:pPr>
        <w:numPr>
          <w:ilvl w:val="0"/>
          <w:numId w:val="46"/>
        </w:numPr>
        <w:spacing w:line="410" w:lineRule="exact"/>
        <w:ind w:left="0" w:firstLine="0"/>
        <w:outlineLvl w:val="5"/>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商务文件：</w:t>
      </w:r>
    </w:p>
    <w:p>
      <w:pPr>
        <w:numPr>
          <w:ilvl w:val="0"/>
          <w:numId w:val="47"/>
        </w:num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供应商概况；</w:t>
      </w:r>
    </w:p>
    <w:p>
      <w:pPr>
        <w:numPr>
          <w:ilvl w:val="0"/>
          <w:numId w:val="47"/>
        </w:num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同类项目业绩情况；</w:t>
      </w:r>
    </w:p>
    <w:p>
      <w:pPr>
        <w:numPr>
          <w:ilvl w:val="0"/>
          <w:numId w:val="47"/>
        </w:num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供应商须知前附表要求供应商提供的其他资料；</w:t>
      </w:r>
    </w:p>
    <w:p>
      <w:pPr>
        <w:numPr>
          <w:ilvl w:val="0"/>
          <w:numId w:val="47"/>
        </w:num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供应商认为需提供的其他资料。</w:t>
      </w:r>
    </w:p>
    <w:p>
      <w:pPr>
        <w:numPr>
          <w:ilvl w:val="0"/>
          <w:numId w:val="46"/>
        </w:numPr>
        <w:spacing w:line="410" w:lineRule="exact"/>
        <w:ind w:left="0" w:firstLine="0"/>
        <w:outlineLvl w:val="5"/>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技术文件</w:t>
      </w:r>
    </w:p>
    <w:p>
      <w:pPr>
        <w:numPr>
          <w:ilvl w:val="0"/>
          <w:numId w:val="48"/>
        </w:numPr>
        <w:spacing w:line="410" w:lineRule="exact"/>
        <w:ind w:left="0" w:firstLine="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售后服务方案；</w:t>
      </w:r>
    </w:p>
    <w:p>
      <w:pPr>
        <w:numPr>
          <w:ilvl w:val="0"/>
          <w:numId w:val="48"/>
        </w:numPr>
        <w:spacing w:line="410" w:lineRule="exact"/>
        <w:ind w:left="0" w:firstLine="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拟派服务团队人员情况；</w:t>
      </w:r>
    </w:p>
    <w:p>
      <w:pPr>
        <w:numPr>
          <w:ilvl w:val="0"/>
          <w:numId w:val="48"/>
        </w:numPr>
        <w:spacing w:line="410" w:lineRule="exact"/>
        <w:ind w:left="0" w:firstLine="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供应商质保服务承诺函；</w:t>
      </w:r>
    </w:p>
    <w:p>
      <w:pPr>
        <w:numPr>
          <w:ilvl w:val="0"/>
          <w:numId w:val="48"/>
        </w:numPr>
        <w:spacing w:line="410" w:lineRule="exact"/>
        <w:ind w:left="0" w:firstLine="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制造商/进口经销商质保服务承诺函；</w:t>
      </w:r>
    </w:p>
    <w:p>
      <w:pPr>
        <w:numPr>
          <w:ilvl w:val="0"/>
          <w:numId w:val="48"/>
        </w:numPr>
        <w:spacing w:line="410" w:lineRule="exact"/>
        <w:ind w:left="0" w:firstLine="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供应商须知前附表要求供应商提供的其他资料；</w:t>
      </w:r>
    </w:p>
    <w:p>
      <w:pPr>
        <w:numPr>
          <w:ilvl w:val="0"/>
          <w:numId w:val="48"/>
        </w:numPr>
        <w:spacing w:line="410" w:lineRule="exact"/>
        <w:ind w:left="0" w:firstLine="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供应商认为需提供的其他资料。</w:t>
      </w:r>
    </w:p>
    <w:p>
      <w:pPr>
        <w:numPr>
          <w:ilvl w:val="0"/>
          <w:numId w:val="46"/>
        </w:numPr>
        <w:spacing w:line="410" w:lineRule="exact"/>
        <w:ind w:left="0" w:firstLine="0"/>
        <w:outlineLvl w:val="5"/>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报价文件</w:t>
      </w:r>
    </w:p>
    <w:p>
      <w:pPr>
        <w:numPr>
          <w:ilvl w:val="0"/>
          <w:numId w:val="49"/>
        </w:numPr>
        <w:tabs>
          <w:tab w:val="left" w:pos="400"/>
          <w:tab w:val="clear" w:pos="312"/>
        </w:tabs>
        <w:spacing w:line="410" w:lineRule="exact"/>
        <w:outlineLvl w:val="5"/>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初次报价一览表；</w:t>
      </w:r>
    </w:p>
    <w:p>
      <w:pPr>
        <w:numPr>
          <w:ilvl w:val="0"/>
          <w:numId w:val="49"/>
        </w:numPr>
        <w:tabs>
          <w:tab w:val="left" w:pos="400"/>
          <w:tab w:val="clear" w:pos="312"/>
        </w:tabs>
        <w:spacing w:line="410" w:lineRule="exact"/>
        <w:outlineLvl w:val="5"/>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报价明细表；</w:t>
      </w:r>
    </w:p>
    <w:p>
      <w:pPr>
        <w:numPr>
          <w:ilvl w:val="0"/>
          <w:numId w:val="49"/>
        </w:numPr>
        <w:tabs>
          <w:tab w:val="left" w:pos="400"/>
          <w:tab w:val="clear" w:pos="312"/>
        </w:tabs>
        <w:spacing w:line="410" w:lineRule="exact"/>
        <w:outlineLvl w:val="5"/>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符合政府采购政策的证明材料；</w:t>
      </w:r>
    </w:p>
    <w:bookmarkEnd w:id="87"/>
    <w:p>
      <w:pPr>
        <w:numPr>
          <w:ilvl w:val="0"/>
          <w:numId w:val="45"/>
        </w:numPr>
        <w:tabs>
          <w:tab w:val="left" w:pos="64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本项目是否要求提供样品的见供应商须知前附表。</w:t>
      </w:r>
    </w:p>
    <w:p>
      <w:pPr>
        <w:numPr>
          <w:ilvl w:val="0"/>
          <w:numId w:val="45"/>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供应商须知前附表规定供应商在磋商时提供样品的，供应商有以下列情形之一的，在磋商时将其视为无效磋商响应文件：</w:t>
      </w:r>
    </w:p>
    <w:p>
      <w:pPr>
        <w:numPr>
          <w:ilvl w:val="0"/>
          <w:numId w:val="50"/>
        </w:num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未在供应商须知前附表规定的提交时间、地点提交的；</w:t>
      </w:r>
    </w:p>
    <w:p>
      <w:pPr>
        <w:numPr>
          <w:ilvl w:val="0"/>
          <w:numId w:val="50"/>
        </w:num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供应商提供的样品与响应文件中型号、规格不一致的；</w:t>
      </w:r>
    </w:p>
    <w:p>
      <w:pPr>
        <w:numPr>
          <w:ilvl w:val="0"/>
          <w:numId w:val="50"/>
        </w:num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其他被认定无效的行为。</w:t>
      </w:r>
    </w:p>
    <w:p>
      <w:pPr>
        <w:numPr>
          <w:ilvl w:val="0"/>
          <w:numId w:val="45"/>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bookmarkStart w:id="88" w:name="_Hlk517257446"/>
      <w:r>
        <w:rPr>
          <w:rFonts w:hint="eastAsia" w:ascii="华文宋体" w:hAnsi="华文宋体" w:eastAsia="华文宋体" w:cs="华文宋体"/>
          <w:color w:val="auto"/>
          <w:sz w:val="23"/>
          <w:szCs w:val="23"/>
          <w:highlight w:val="none"/>
        </w:rPr>
        <w:t>在磋商过程中，供应商根据磋商小组书面形式要求提交的最后报价（或者重新提交的磋商响应文件和最后报价）是响应文件的有效组成部分。</w:t>
      </w:r>
      <w:bookmarkEnd w:id="88"/>
    </w:p>
    <w:p>
      <w:pPr>
        <w:numPr>
          <w:ilvl w:val="0"/>
          <w:numId w:val="45"/>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磋商文件规定可能发生实质性变动的，供应商应当在《实质性响应条款一览表》中的对应内容处注明。</w:t>
      </w:r>
    </w:p>
    <w:p>
      <w:pPr>
        <w:numPr>
          <w:ilvl w:val="0"/>
          <w:numId w:val="45"/>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供应商无论成交与否，其磋商响应文件不予退还。</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报价</w:t>
      </w:r>
    </w:p>
    <w:p>
      <w:pPr>
        <w:numPr>
          <w:ilvl w:val="0"/>
          <w:numId w:val="51"/>
        </w:numPr>
        <w:tabs>
          <w:tab w:val="left" w:pos="420"/>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供应商应按竞争性磋商文件规定的供货及服务要求、责任范围和合同条件以人民币形式进行报价。报价应为完税价。</w:t>
      </w:r>
    </w:p>
    <w:p>
      <w:pPr>
        <w:numPr>
          <w:ilvl w:val="0"/>
          <w:numId w:val="51"/>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必须按初次报价一览表和分项价格表的内容和格式要求填写各项产品及服务的分项价格和总价。供应商在供应商须知前附表规定的提交首次磋商响应文件截止之日前修改初次报价一览表中的报价的，应同时修改其分项价格表中的报价。</w:t>
      </w:r>
    </w:p>
    <w:p>
      <w:pPr>
        <w:numPr>
          <w:ilvl w:val="0"/>
          <w:numId w:val="51"/>
        </w:numPr>
        <w:tabs>
          <w:tab w:val="left" w:pos="420"/>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供应商对每种产品及服务只允许有一个报价，不接受可变动性报价、赠送及“零”报价，否则，在评审时将其视为无效响应。</w:t>
      </w:r>
    </w:p>
    <w:p>
      <w:pPr>
        <w:numPr>
          <w:ilvl w:val="0"/>
          <w:numId w:val="51"/>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供应商的最终报价不得超过采购项目预算。本次采购项目的预算见供应商须知前附表。</w:t>
      </w:r>
    </w:p>
    <w:p>
      <w:pPr>
        <w:numPr>
          <w:ilvl w:val="0"/>
          <w:numId w:val="51"/>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项目有特殊要求的见供应商须知前附表。</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磋商保证金（如有）</w:t>
      </w:r>
    </w:p>
    <w:p>
      <w:pPr>
        <w:numPr>
          <w:ilvl w:val="0"/>
          <w:numId w:val="52"/>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本项目是否交纳磋商保证金见供应商须知前附表。</w:t>
      </w:r>
    </w:p>
    <w:p>
      <w:pPr>
        <w:numPr>
          <w:ilvl w:val="0"/>
          <w:numId w:val="52"/>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须知前附表规定交纳磋商保证金的，供应商应以支票、汇票、本票、网上银行或金融机构、担保机构出具的保函等非现金形式，在本章供应商须知前表规定的提交首次磋商响应文件截止时间前，向采购人或采购代理机构交纳不超过采购项目预算2%的磋商保证金（数额采用四舍五入，计算至元）。磋商保证金有效期应当与本章供应商须知前附表规定的磋商响应有效期一致。供应商未按照竞争性磋商文件规定提交磋商保证金的，采购人或采购代理机构应当拒绝接收供应商的磋商响应文件。</w:t>
      </w:r>
    </w:p>
    <w:p>
      <w:pPr>
        <w:numPr>
          <w:ilvl w:val="0"/>
          <w:numId w:val="52"/>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本项目可采用的信用担保形式：保证担保。指由财政部门认可的专业担保机构为供应商履行支付磋商保证金的义务向采购代理提供的保证担保。供应商在响应文件有效期内发生的撤回竞争性磋商响应文件，或成为成交供应商后因自身原因不签署政府采购合同等行为而应实际支付保证金的，由专业担保机构按照《政府采购响应担保函》的约定履行担保责任。供应商可以自愿选择是否采取《政府采购响应担保函》的形式交纳磋商保证金。</w:t>
      </w:r>
    </w:p>
    <w:p>
      <w:pPr>
        <w:numPr>
          <w:ilvl w:val="0"/>
          <w:numId w:val="52"/>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未成交供应商的磋商保证金，将在成交通知书发出后5个工作日内退还；成交供应商的保证金，在采购合同签订后5个工作日内退还，但因供应商自身原因导致无法及时退还的除外。</w:t>
      </w:r>
    </w:p>
    <w:p>
      <w:pPr>
        <w:numPr>
          <w:ilvl w:val="0"/>
          <w:numId w:val="52"/>
        </w:numPr>
        <w:tabs>
          <w:tab w:val="left" w:pos="420"/>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供应商有以下情形之一的，磋商保证金可以不予退还：</w:t>
      </w:r>
    </w:p>
    <w:p>
      <w:pPr>
        <w:numPr>
          <w:ilvl w:val="0"/>
          <w:numId w:val="53"/>
        </w:numPr>
        <w:spacing w:line="410" w:lineRule="exact"/>
        <w:ind w:left="0" w:firstLine="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供应商在供应商须知前附表规定的提交首次磋商响应文件截止时间后撤回磋商响应文件的；</w:t>
      </w:r>
    </w:p>
    <w:p>
      <w:pPr>
        <w:numPr>
          <w:ilvl w:val="0"/>
          <w:numId w:val="53"/>
        </w:numPr>
        <w:spacing w:line="410" w:lineRule="exact"/>
        <w:ind w:left="0" w:firstLine="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供应商在响应文件中提供虚假材料的；</w:t>
      </w:r>
    </w:p>
    <w:p>
      <w:pPr>
        <w:numPr>
          <w:ilvl w:val="0"/>
          <w:numId w:val="53"/>
        </w:numPr>
        <w:spacing w:line="410" w:lineRule="exact"/>
        <w:ind w:left="0" w:firstLine="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除因不可抗力或磋商文件认可的情形以外，成交供应商不与采购人签订合同的；</w:t>
      </w:r>
    </w:p>
    <w:p>
      <w:pPr>
        <w:numPr>
          <w:ilvl w:val="0"/>
          <w:numId w:val="53"/>
        </w:numPr>
        <w:spacing w:line="410" w:lineRule="exact"/>
        <w:ind w:left="0" w:firstLine="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供应商与采购人、其他供应商或者采购代理机构恶意串通的；</w:t>
      </w:r>
    </w:p>
    <w:p>
      <w:pPr>
        <w:numPr>
          <w:ilvl w:val="0"/>
          <w:numId w:val="53"/>
        </w:numPr>
        <w:spacing w:line="410" w:lineRule="exact"/>
        <w:ind w:left="0" w:firstLine="0"/>
        <w:rPr>
          <w:rFonts w:hint="eastAsia" w:ascii="华文宋体" w:hAnsi="华文宋体" w:eastAsia="华文宋体" w:cs="华文宋体"/>
          <w:color w:val="auto"/>
          <w:sz w:val="23"/>
          <w:szCs w:val="23"/>
          <w:highlight w:val="none"/>
        </w:rPr>
      </w:pPr>
      <w:bookmarkStart w:id="89" w:name="_Hlk517370743"/>
      <w:r>
        <w:rPr>
          <w:rFonts w:hint="eastAsia" w:ascii="华文宋体" w:hAnsi="华文宋体" w:eastAsia="华文宋体" w:cs="华文宋体"/>
          <w:color w:val="auto"/>
          <w:sz w:val="23"/>
          <w:szCs w:val="23"/>
          <w:highlight w:val="none"/>
        </w:rPr>
        <w:t>磋商文件规定的其他情形。</w:t>
      </w:r>
      <w:bookmarkEnd w:id="89"/>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磋商响应有效期</w:t>
      </w:r>
    </w:p>
    <w:p>
      <w:pPr>
        <w:numPr>
          <w:ilvl w:val="0"/>
          <w:numId w:val="54"/>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响应有效期见供应商须知前附表，在此期间磋商响应文件对供应商具法律约束力。磋商响应文件有效期从供应商须知前附表规定的提交首次响应文件截止时间之日起计算。磋商响应有效期不足的，在评审时将其视为无效响应。</w:t>
      </w:r>
    </w:p>
    <w:p>
      <w:pPr>
        <w:numPr>
          <w:ilvl w:val="0"/>
          <w:numId w:val="54"/>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特殊情况需延长磋商响应有效期的，采购人或采购代理机构可于磋商响应有效期届满之前，要求供应商同意延长有效期，采购人或采购代理机构的要求与供应商的答复均应为书面形式。供应商拒绝延长的，其磋商响应文件在原磋商响应有效期届满后将不再有效，但有权收回其磋商保证金；供应商同意延长的，应相应延长其磋商保证金的有效期，但不允许修改或撤回磋商响应文件。</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磋商响应文件的签署和规定</w:t>
      </w:r>
    </w:p>
    <w:p>
      <w:pPr>
        <w:numPr>
          <w:ilvl w:val="0"/>
          <w:numId w:val="55"/>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供应商应根据供应商须知前附表规定提交磋商响应文件。纸质文件的正本和副本应装订成册。正本和副本的封面上应标记“正本”或“副本”的字样，当正本和副本有差异时，以正本为准。</w:t>
      </w:r>
    </w:p>
    <w:p>
      <w:pPr>
        <w:numPr>
          <w:ilvl w:val="0"/>
          <w:numId w:val="55"/>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响应文件应用不褪色的材料打印或书写，并按竞争性磋商文件要求在签字盖章处加盖单位公章或其授权代表签字。磋商响应文件中的任何加行、涂改、增删，应加盖单位公章或由供应商的法定代表人或其授权代表签字确认。否则，将导致响应文件无效。</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磋商响应文件的密封和标记</w:t>
      </w:r>
    </w:p>
    <w:p>
      <w:pPr>
        <w:numPr>
          <w:ilvl w:val="0"/>
          <w:numId w:val="56"/>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磋商响应文件按正本和副本分别包装，注明“正本”或“副本”，加贴封条，并在封套的封口处加盖供应商单位公章或由法定代表人或其授权代表签字。</w:t>
      </w:r>
    </w:p>
    <w:p>
      <w:pPr>
        <w:numPr>
          <w:ilvl w:val="0"/>
          <w:numId w:val="56"/>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磋商响应文件封套或外包装上应载明的内容见供应商须知前附表。</w:t>
      </w:r>
    </w:p>
    <w:p>
      <w:pPr>
        <w:numPr>
          <w:ilvl w:val="0"/>
          <w:numId w:val="56"/>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磋商响应文件如果未按上述规定密封和标记，采购人或采购代理机构当拒绝接收。</w:t>
      </w:r>
    </w:p>
    <w:p>
      <w:pPr>
        <w:numPr>
          <w:ilvl w:val="0"/>
          <w:numId w:val="56"/>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为方便递交响应文件截止时间之日报价，供应商应单独将初次报价一览表及磋商保证金（如有）交纳凭证另行封装在同一密封套内，并标明初次报价一览表及磋商保证金（如有）字样，磋商会议时单独提交。</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磋商响应文件的递交</w:t>
      </w:r>
    </w:p>
    <w:p>
      <w:pPr>
        <w:numPr>
          <w:ilvl w:val="0"/>
          <w:numId w:val="57"/>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磋商响应文件应在本章供应商须知前附表规定的提交时间和指定地点提交。</w:t>
      </w:r>
    </w:p>
    <w:p>
      <w:pPr>
        <w:numPr>
          <w:ilvl w:val="0"/>
          <w:numId w:val="57"/>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在截止时间后送达的响应文件为无效文件，采购人、采购代理机构或磋商小组应当拒收。</w:t>
      </w:r>
    </w:p>
    <w:p>
      <w:pPr>
        <w:numPr>
          <w:ilvl w:val="0"/>
          <w:numId w:val="2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磋商响应文件的补充、修改和撤回</w:t>
      </w:r>
    </w:p>
    <w:p>
      <w:pPr>
        <w:numPr>
          <w:ilvl w:val="0"/>
          <w:numId w:val="58"/>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在供应商须知前附表规定的提交首次磋商响应文件的截止时间前，供应商可以对所提交的首次响应文件进行补充、修改或撤回，并以书面形式通知采购人或采购代理机构。该通知应有供应商法定代表人或其授权代表签字。</w:t>
      </w:r>
    </w:p>
    <w:p>
      <w:pPr>
        <w:numPr>
          <w:ilvl w:val="0"/>
          <w:numId w:val="58"/>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修改、补充的内容与响应文件不一致时，以补充、修改的内容为准。</w:t>
      </w:r>
    </w:p>
    <w:p>
      <w:pPr>
        <w:pStyle w:val="47"/>
        <w:spacing w:line="410" w:lineRule="exact"/>
        <w:rPr>
          <w:rFonts w:hint="eastAsia" w:ascii="华文宋体" w:hAnsi="华文宋体" w:eastAsia="华文宋体" w:cs="华文宋体"/>
          <w:color w:val="auto"/>
          <w:highlight w:val="none"/>
        </w:rPr>
      </w:pPr>
    </w:p>
    <w:p>
      <w:pPr>
        <w:spacing w:line="410" w:lineRule="exact"/>
        <w:outlineLvl w:val="2"/>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b/>
          <w:color w:val="auto"/>
          <w:sz w:val="23"/>
          <w:szCs w:val="23"/>
          <w:highlight w:val="none"/>
        </w:rPr>
        <w:t>四、磋商与评审</w:t>
      </w:r>
    </w:p>
    <w:p>
      <w:pPr>
        <w:numPr>
          <w:ilvl w:val="0"/>
          <w:numId w:val="59"/>
        </w:numPr>
        <w:autoSpaceDE w:val="0"/>
        <w:autoSpaceDN w:val="0"/>
        <w:adjustRightInd w:val="0"/>
        <w:spacing w:line="410" w:lineRule="exact"/>
        <w:ind w:left="0" w:firstLine="0"/>
        <w:jc w:val="left"/>
        <w:rPr>
          <w:rFonts w:hint="eastAsia" w:ascii="华文宋体" w:hAnsi="华文宋体" w:eastAsia="华文宋体" w:cs="华文宋体"/>
          <w:b/>
          <w:bCs/>
          <w:color w:val="auto"/>
          <w:kern w:val="0"/>
          <w:sz w:val="23"/>
          <w:szCs w:val="23"/>
          <w:highlight w:val="none"/>
        </w:rPr>
      </w:pPr>
      <w:r>
        <w:rPr>
          <w:rFonts w:hint="eastAsia" w:ascii="华文宋体" w:hAnsi="华文宋体" w:eastAsia="华文宋体" w:cs="华文宋体"/>
          <w:b/>
          <w:bCs/>
          <w:color w:val="auto"/>
          <w:kern w:val="0"/>
          <w:sz w:val="23"/>
          <w:szCs w:val="23"/>
          <w:highlight w:val="none"/>
        </w:rPr>
        <w:t>磋商小组</w:t>
      </w:r>
    </w:p>
    <w:p>
      <w:pPr>
        <w:numPr>
          <w:ilvl w:val="0"/>
          <w:numId w:val="60"/>
        </w:numPr>
        <w:autoSpaceDE w:val="0"/>
        <w:autoSpaceDN w:val="0"/>
        <w:adjustRightInd w:val="0"/>
        <w:spacing w:line="410" w:lineRule="exact"/>
        <w:ind w:left="0" w:firstLine="0"/>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1 磋商与评审由依法组建的磋商小组负责，磋商小组由采购人代表和评审专家组成。</w:t>
      </w:r>
    </w:p>
    <w:p>
      <w:pPr>
        <w:autoSpaceDE w:val="0"/>
        <w:autoSpaceDN w:val="0"/>
        <w:adjustRightInd w:val="0"/>
        <w:spacing w:line="410" w:lineRule="exact"/>
        <w:jc w:val="left"/>
        <w:rPr>
          <w:rFonts w:hint="eastAsia" w:ascii="华文宋体" w:hAnsi="华文宋体" w:eastAsia="华文宋体" w:cs="华文宋体"/>
          <w:b/>
          <w:bCs/>
          <w:color w:val="auto"/>
          <w:kern w:val="0"/>
          <w:sz w:val="23"/>
          <w:szCs w:val="23"/>
          <w:highlight w:val="none"/>
        </w:rPr>
      </w:pPr>
      <w:r>
        <w:rPr>
          <w:rFonts w:hint="eastAsia" w:ascii="华文宋体" w:hAnsi="华文宋体" w:eastAsia="华文宋体" w:cs="华文宋体"/>
          <w:b/>
          <w:bCs/>
          <w:color w:val="auto"/>
          <w:kern w:val="0"/>
          <w:sz w:val="23"/>
          <w:szCs w:val="23"/>
          <w:highlight w:val="none"/>
        </w:rPr>
        <w:t>23.初步评审</w:t>
      </w:r>
    </w:p>
    <w:p>
      <w:pPr>
        <w:numPr>
          <w:ilvl w:val="0"/>
          <w:numId w:val="61"/>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磋商小组应当对供应商提交的首次响应文件进行初步评审，包括响应文件的有效性、完整性、符合性。除可变动的技术、服务要求以及合同草案条款外，首次提交的响应文件有下列情况之一，其响应文件无效，磋商小组应当告知有关供应商。</w:t>
      </w:r>
    </w:p>
    <w:p>
      <w:pPr>
        <w:autoSpaceDE w:val="0"/>
        <w:autoSpaceDN w:val="0"/>
        <w:adjustRightInd w:val="0"/>
        <w:spacing w:line="410" w:lineRule="exact"/>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(1)供应商未按照磋商文件规定提交磋商保证金的；</w:t>
      </w:r>
    </w:p>
    <w:p>
      <w:pPr>
        <w:autoSpaceDE w:val="0"/>
        <w:autoSpaceDN w:val="0"/>
        <w:adjustRightInd w:val="0"/>
        <w:spacing w:line="410" w:lineRule="exact"/>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(2)未按照磋商文件规定要求密封、签署、盖章的；</w:t>
      </w:r>
    </w:p>
    <w:p>
      <w:pPr>
        <w:autoSpaceDE w:val="0"/>
        <w:autoSpaceDN w:val="0"/>
        <w:adjustRightInd w:val="0"/>
        <w:spacing w:line="410" w:lineRule="exact"/>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(3)响应有效期不足的；</w:t>
      </w:r>
    </w:p>
    <w:p>
      <w:pPr>
        <w:autoSpaceDE w:val="0"/>
        <w:autoSpaceDN w:val="0"/>
        <w:adjustRightInd w:val="0"/>
        <w:spacing w:line="410" w:lineRule="exac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(4)供应商不满足磋商文件供应商资格条件或未按照磋商文件规定提供资格证明材料的；</w:t>
      </w:r>
    </w:p>
    <w:p>
      <w:pPr>
        <w:autoSpaceDE w:val="0"/>
        <w:autoSpaceDN w:val="0"/>
        <w:adjustRightInd w:val="0"/>
        <w:spacing w:line="410" w:lineRule="exac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(5)响应文件不满足磋商文件实质性条款的。响应文件是否实质性响应磋商文件，由磋商小组依据磋商文件规定、供应商响应文件及磋商情况认定；</w:t>
      </w:r>
    </w:p>
    <w:p>
      <w:pPr>
        <w:autoSpaceDE w:val="0"/>
        <w:autoSpaceDN w:val="0"/>
        <w:adjustRightInd w:val="0"/>
        <w:spacing w:line="410" w:lineRule="exact"/>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(5)供应商存在失信记录的：</w:t>
      </w:r>
    </w:p>
    <w:p>
      <w:pPr>
        <w:autoSpaceDE w:val="0"/>
        <w:autoSpaceDN w:val="0"/>
        <w:adjustRightInd w:val="0"/>
        <w:spacing w:line="410" w:lineRule="exact"/>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失信记录是指，通过“信用中国”网站</w:t>
      </w:r>
      <w:r>
        <w:rPr>
          <w:rFonts w:hint="eastAsia" w:ascii="华文宋体" w:hAnsi="华文宋体" w:eastAsia="华文宋体" w:cs="华文宋体"/>
          <w:color w:val="auto"/>
          <w:sz w:val="23"/>
          <w:szCs w:val="23"/>
          <w:highlight w:val="none"/>
        </w:rPr>
        <w:t>（www.creditchina.gov.cn）</w:t>
      </w:r>
      <w:r>
        <w:rPr>
          <w:rFonts w:hint="eastAsia" w:ascii="华文宋体" w:hAnsi="华文宋体" w:eastAsia="华文宋体" w:cs="华文宋体"/>
          <w:color w:val="auto"/>
          <w:kern w:val="0"/>
          <w:sz w:val="23"/>
          <w:szCs w:val="23"/>
          <w:highlight w:val="none"/>
        </w:rPr>
        <w:t>、中国政府采购网</w:t>
      </w:r>
      <w:r>
        <w:rPr>
          <w:rFonts w:hint="eastAsia" w:ascii="华文宋体" w:hAnsi="华文宋体" w:eastAsia="华文宋体" w:cs="华文宋体"/>
          <w:color w:val="auto"/>
          <w:sz w:val="23"/>
          <w:szCs w:val="23"/>
          <w:highlight w:val="none"/>
        </w:rPr>
        <w:t>（www.ccgp.gov.cn）</w:t>
      </w:r>
      <w:r>
        <w:rPr>
          <w:rFonts w:hint="eastAsia" w:ascii="华文宋体" w:hAnsi="华文宋体" w:eastAsia="华文宋体" w:cs="华文宋体"/>
          <w:color w:val="auto"/>
          <w:kern w:val="0"/>
          <w:sz w:val="23"/>
          <w:szCs w:val="23"/>
          <w:highlight w:val="none"/>
        </w:rPr>
        <w:t>查询相关主体信用记录，列入失信被执行人、重大税收违法案件当事人名单、政府采购严重违法失信行为记录名单及其他不符合《政府采购法》第二十二条规定条件的情况。失信情况查询详见供应商须知前附表；</w:t>
      </w:r>
    </w:p>
    <w:p>
      <w:pPr>
        <w:autoSpaceDE w:val="0"/>
        <w:autoSpaceDN w:val="0"/>
        <w:adjustRightInd w:val="0"/>
        <w:spacing w:line="410" w:lineRule="exact"/>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(7)其他不符合法律、规章、规范性文件和磋商文件规定的。</w:t>
      </w:r>
    </w:p>
    <w:p>
      <w:pPr>
        <w:tabs>
          <w:tab w:val="left" w:pos="420"/>
        </w:tabs>
        <w:autoSpaceDE w:val="0"/>
        <w:autoSpaceDN w:val="0"/>
        <w:adjustRightInd w:val="0"/>
        <w:spacing w:line="410" w:lineRule="exact"/>
        <w:jc w:val="left"/>
        <w:rPr>
          <w:rFonts w:hint="eastAsia" w:ascii="华文宋体" w:hAnsi="华文宋体" w:eastAsia="华文宋体" w:cs="华文宋体"/>
          <w:b/>
          <w:bCs/>
          <w:color w:val="auto"/>
          <w:kern w:val="0"/>
          <w:sz w:val="23"/>
          <w:szCs w:val="23"/>
          <w:highlight w:val="none"/>
        </w:rPr>
      </w:pPr>
      <w:r>
        <w:rPr>
          <w:rFonts w:hint="eastAsia" w:ascii="华文宋体" w:hAnsi="华文宋体" w:eastAsia="华文宋体" w:cs="华文宋体"/>
          <w:b/>
          <w:bCs/>
          <w:color w:val="auto"/>
          <w:kern w:val="0"/>
          <w:sz w:val="23"/>
          <w:szCs w:val="23"/>
          <w:highlight w:val="none"/>
        </w:rPr>
        <w:t>24.澄清</w:t>
      </w:r>
    </w:p>
    <w:p>
      <w:pPr>
        <w:numPr>
          <w:ilvl w:val="0"/>
          <w:numId w:val="62"/>
        </w:numPr>
        <w:tabs>
          <w:tab w:val="left" w:pos="420"/>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numPr>
          <w:ilvl w:val="0"/>
          <w:numId w:val="63"/>
        </w:numPr>
        <w:autoSpaceDE w:val="0"/>
        <w:autoSpaceDN w:val="0"/>
        <w:adjustRightInd w:val="0"/>
        <w:spacing w:line="410" w:lineRule="exact"/>
        <w:ind w:left="0" w:firstLine="0"/>
        <w:jc w:val="left"/>
        <w:rPr>
          <w:rFonts w:hint="eastAsia" w:ascii="华文宋体" w:hAnsi="华文宋体" w:eastAsia="华文宋体" w:cs="华文宋体"/>
          <w:b/>
          <w:bCs/>
          <w:color w:val="auto"/>
          <w:kern w:val="0"/>
          <w:sz w:val="23"/>
          <w:szCs w:val="23"/>
          <w:highlight w:val="none"/>
        </w:rPr>
      </w:pPr>
      <w:r>
        <w:rPr>
          <w:rFonts w:hint="eastAsia" w:ascii="华文宋体" w:hAnsi="华文宋体" w:eastAsia="华文宋体" w:cs="华文宋体"/>
          <w:b/>
          <w:bCs/>
          <w:color w:val="auto"/>
          <w:kern w:val="0"/>
          <w:sz w:val="23"/>
          <w:szCs w:val="23"/>
          <w:highlight w:val="none"/>
        </w:rPr>
        <w:t>磋商</w:t>
      </w:r>
    </w:p>
    <w:p>
      <w:pPr>
        <w:numPr>
          <w:ilvl w:val="0"/>
          <w:numId w:val="64"/>
        </w:numPr>
        <w:tabs>
          <w:tab w:val="left" w:pos="420"/>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初审结束后，磋商小组所有成员集中与单一供应商分别进行磋商，并给予所有参加磋商的供应商平等的磋商机会。供应商应派其法定代表人或授权代表参加磋商。</w:t>
      </w:r>
    </w:p>
    <w:p>
      <w:pPr>
        <w:numPr>
          <w:ilvl w:val="0"/>
          <w:numId w:val="65"/>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0"/>
          <w:numId w:val="66"/>
        </w:numPr>
        <w:tabs>
          <w:tab w:val="left" w:pos="420"/>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对磋商文件作出的实质性变动是磋商文件的有效组成部分，磋商小组应当及时以书面形式同时通知所有参加磋商的供应商。</w:t>
      </w:r>
    </w:p>
    <w:p>
      <w:pPr>
        <w:numPr>
          <w:ilvl w:val="0"/>
          <w:numId w:val="67"/>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numPr>
          <w:ilvl w:val="0"/>
          <w:numId w:val="68"/>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磋商文件不能详细列明采购标的技术、服务要求，需经磋商由供应商提供最终设计方案或解决方案的，磋商结束后，磋商小组应当按照少数服从多数的原则投票推荐3家以上供应商的设计方案或者解决方案。</w:t>
      </w:r>
    </w:p>
    <w:p>
      <w:pPr>
        <w:numPr>
          <w:ilvl w:val="0"/>
          <w:numId w:val="69"/>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磋商小组应当根据实际情况与供应商进行磋商，并确定磋商的轮次。</w:t>
      </w:r>
    </w:p>
    <w:p>
      <w:pPr>
        <w:numPr>
          <w:ilvl w:val="0"/>
          <w:numId w:val="70"/>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已提交响应文件的供应商，在提交最后报价之前，可以根据磋商情况退出磋商。采购人或采购代理机构应当退还退出磋商的供应商的磋商保证金。</w:t>
      </w:r>
    </w:p>
    <w:p>
      <w:pPr>
        <w:numPr>
          <w:ilvl w:val="0"/>
          <w:numId w:val="71"/>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磋商结束后，供应商按照磋商小组要求重新提交的响应文件，不满足磋商文件及变动后的技术、服务要求以及合同草案条款的实质性要求的，将视为无效响应文件。</w:t>
      </w:r>
    </w:p>
    <w:p>
      <w:pPr>
        <w:numPr>
          <w:ilvl w:val="0"/>
          <w:numId w:val="72"/>
        </w:numPr>
        <w:autoSpaceDE w:val="0"/>
        <w:autoSpaceDN w:val="0"/>
        <w:adjustRightInd w:val="0"/>
        <w:spacing w:line="410" w:lineRule="exact"/>
        <w:ind w:left="0" w:firstLine="0"/>
        <w:jc w:val="left"/>
        <w:rPr>
          <w:rFonts w:hint="eastAsia" w:ascii="华文宋体" w:hAnsi="华文宋体" w:eastAsia="华文宋体" w:cs="华文宋体"/>
          <w:b/>
          <w:bCs/>
          <w:color w:val="auto"/>
          <w:kern w:val="0"/>
          <w:sz w:val="23"/>
          <w:szCs w:val="23"/>
          <w:highlight w:val="none"/>
        </w:rPr>
      </w:pPr>
      <w:r>
        <w:rPr>
          <w:rFonts w:hint="eastAsia" w:ascii="华文宋体" w:hAnsi="华文宋体" w:eastAsia="华文宋体" w:cs="华文宋体"/>
          <w:b/>
          <w:bCs/>
          <w:color w:val="auto"/>
          <w:kern w:val="0"/>
          <w:sz w:val="23"/>
          <w:szCs w:val="23"/>
          <w:highlight w:val="none"/>
        </w:rPr>
        <w:t>最后报价</w:t>
      </w:r>
    </w:p>
    <w:p>
      <w:pPr>
        <w:numPr>
          <w:ilvl w:val="0"/>
          <w:numId w:val="73"/>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磋商结束后，磋商小组应当要求所有实质性响应的供应商在规定时间内提交最后报价，提交最后报价的供应商不得少于3家。</w:t>
      </w:r>
    </w:p>
    <w:p>
      <w:pPr>
        <w:numPr>
          <w:ilvl w:val="0"/>
          <w:numId w:val="74"/>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numPr>
          <w:ilvl w:val="0"/>
          <w:numId w:val="75"/>
        </w:numPr>
        <w:tabs>
          <w:tab w:val="left" w:pos="420"/>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最后报价是供应商响应文件的有效组成部分。如磋商小组没有对磋商文件作实质性变动或增加新的需求，最后报价不得高于首轮报价。</w:t>
      </w:r>
    </w:p>
    <w:p>
      <w:pPr>
        <w:numPr>
          <w:ilvl w:val="0"/>
          <w:numId w:val="76"/>
        </w:numPr>
        <w:tabs>
          <w:tab w:val="left" w:pos="420"/>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采用竞争性磋商采购方式组织实施的市场竞争不充分的科研项目、需要扶持的科技成果转化项目，以及政府购买服务项目（含政府和社会资本合作项目），符合要求的供应商（社会资本）只有2家的，竞争性磋商采购活动可以继续进行。</w:t>
      </w:r>
    </w:p>
    <w:p>
      <w:pPr>
        <w:numPr>
          <w:ilvl w:val="0"/>
          <w:numId w:val="77"/>
        </w:numPr>
        <w:autoSpaceDE w:val="0"/>
        <w:autoSpaceDN w:val="0"/>
        <w:adjustRightInd w:val="0"/>
        <w:spacing w:line="410" w:lineRule="exact"/>
        <w:ind w:left="0" w:firstLine="0"/>
        <w:jc w:val="left"/>
        <w:rPr>
          <w:rFonts w:hint="eastAsia" w:ascii="华文宋体" w:hAnsi="华文宋体" w:eastAsia="华文宋体" w:cs="华文宋体"/>
          <w:b/>
          <w:bCs/>
          <w:color w:val="auto"/>
          <w:kern w:val="0"/>
          <w:sz w:val="23"/>
          <w:szCs w:val="23"/>
          <w:highlight w:val="none"/>
        </w:rPr>
      </w:pPr>
      <w:r>
        <w:rPr>
          <w:rFonts w:hint="eastAsia" w:ascii="华文宋体" w:hAnsi="华文宋体" w:eastAsia="华文宋体" w:cs="华文宋体"/>
          <w:b/>
          <w:bCs/>
          <w:color w:val="auto"/>
          <w:kern w:val="0"/>
          <w:sz w:val="23"/>
          <w:szCs w:val="23"/>
          <w:highlight w:val="none"/>
        </w:rPr>
        <w:t>最后报价评审</w:t>
      </w:r>
    </w:p>
    <w:p>
      <w:pPr>
        <w:numPr>
          <w:ilvl w:val="0"/>
          <w:numId w:val="78"/>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最后报价计算错误修正的原则</w:t>
      </w:r>
    </w:p>
    <w:p>
      <w:pPr>
        <w:tabs>
          <w:tab w:val="left" w:pos="630"/>
        </w:tabs>
        <w:autoSpaceDE w:val="0"/>
        <w:autoSpaceDN w:val="0"/>
        <w:adjustRightInd w:val="0"/>
        <w:spacing w:line="410" w:lineRule="exact"/>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(1)最后报价的大写金额和小写金额不一致的，以大写金额为准。</w:t>
      </w:r>
    </w:p>
    <w:p>
      <w:pPr>
        <w:tabs>
          <w:tab w:val="left" w:pos="420"/>
        </w:tabs>
        <w:autoSpaceDE w:val="0"/>
        <w:autoSpaceDN w:val="0"/>
        <w:adjustRightInd w:val="0"/>
        <w:spacing w:line="410" w:lineRule="exact"/>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(2)总价金额与按分项报价汇总金额不一致的，以分项报价金额计算结果为准。</w:t>
      </w:r>
    </w:p>
    <w:p>
      <w:pPr>
        <w:autoSpaceDE w:val="0"/>
        <w:autoSpaceDN w:val="0"/>
        <w:adjustRightInd w:val="0"/>
        <w:spacing w:line="410" w:lineRule="exact"/>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(3)分项报价金额小数点有明显错位的，应以总价为准，并修改分项报价。</w:t>
      </w:r>
    </w:p>
    <w:p>
      <w:pPr>
        <w:autoSpaceDE w:val="0"/>
        <w:autoSpaceDN w:val="0"/>
        <w:adjustRightInd w:val="0"/>
        <w:spacing w:line="410" w:lineRule="exact"/>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(4)如果供应商不接受对其错误的更正，其最后报价将被视为无效响应或确定为无效响应。</w:t>
      </w:r>
    </w:p>
    <w:p>
      <w:pPr>
        <w:numPr>
          <w:ilvl w:val="0"/>
          <w:numId w:val="79"/>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最后报价的价格扣除原则</w:t>
      </w:r>
    </w:p>
    <w:p>
      <w:pPr>
        <w:tabs>
          <w:tab w:val="left" w:pos="420"/>
          <w:tab w:val="left" w:pos="630"/>
        </w:tabs>
        <w:autoSpaceDE w:val="0"/>
        <w:autoSpaceDN w:val="0"/>
        <w:adjustRightInd w:val="0"/>
        <w:spacing w:line="410" w:lineRule="exact"/>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(1)节能产品（视具体项目适用）：供应商所投产品中，如有符合政策的节能产品的，对节能产品在评审时按供应商须知前附表的规定对其最终报价给予价格扣除或在评审时予以加分。</w:t>
      </w:r>
    </w:p>
    <w:p>
      <w:pPr>
        <w:autoSpaceDE w:val="0"/>
        <w:autoSpaceDN w:val="0"/>
        <w:adjustRightInd w:val="0"/>
        <w:spacing w:line="410" w:lineRule="exact"/>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(2)环境标志产品（视具体项目适用）：供应商所投产品中，如有符合政策的环境标志产品的，对环境标志产品在评审时按供应商须知前附表的规定对其终报价给予价格扣除或在评审时予以加分。</w:t>
      </w:r>
    </w:p>
    <w:p>
      <w:pPr>
        <w:autoSpaceDE w:val="0"/>
        <w:autoSpaceDN w:val="0"/>
        <w:adjustRightInd w:val="0"/>
        <w:spacing w:line="410" w:lineRule="exact"/>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(3)对小型或微型企业以及监狱企业，在评审时按供应商须知前附表的规定对其最终报价给予价格扣除。</w:t>
      </w:r>
    </w:p>
    <w:p>
      <w:pPr>
        <w:numPr>
          <w:ilvl w:val="1"/>
          <w:numId w:val="80"/>
        </w:numPr>
        <w:tabs>
          <w:tab w:val="left" w:pos="420"/>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价格得分：以供应商的最后报价作为价格评分依据。供应商的评审价为按上述条款修正并给予价格扣除优惠后的价格。</w:t>
      </w:r>
    </w:p>
    <w:p>
      <w:pPr>
        <w:tabs>
          <w:tab w:val="left" w:pos="420"/>
          <w:tab w:val="left" w:pos="630"/>
        </w:tabs>
        <w:autoSpaceDE w:val="0"/>
        <w:autoSpaceDN w:val="0"/>
        <w:adjustRightInd w:val="0"/>
        <w:spacing w:line="410" w:lineRule="exact"/>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27.4 价格评分统一采用低价优先法计算，即满足磋商文件要求且价格最低的评审价为磋商基准价，其价格分为满分。其他供应商的价格分统一按照下列公式计算：</w:t>
      </w:r>
    </w:p>
    <w:p>
      <w:pPr>
        <w:autoSpaceDE w:val="0"/>
        <w:autoSpaceDN w:val="0"/>
        <w:adjustRightInd w:val="0"/>
        <w:spacing w:line="410" w:lineRule="exact"/>
        <w:ind w:firstLine="460" w:firstLineChars="20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磋商报价得分＝（磋商基准价／最后磋商报价）×价格权值×100</w:t>
      </w:r>
    </w:p>
    <w:p>
      <w:pPr>
        <w:numPr>
          <w:ilvl w:val="0"/>
          <w:numId w:val="81"/>
        </w:numPr>
        <w:autoSpaceDE w:val="0"/>
        <w:autoSpaceDN w:val="0"/>
        <w:adjustRightInd w:val="0"/>
        <w:spacing w:line="410" w:lineRule="exact"/>
        <w:ind w:left="0" w:firstLine="0"/>
        <w:jc w:val="left"/>
        <w:rPr>
          <w:rFonts w:hint="eastAsia" w:ascii="华文宋体" w:hAnsi="华文宋体" w:eastAsia="华文宋体" w:cs="华文宋体"/>
          <w:b/>
          <w:bCs/>
          <w:color w:val="auto"/>
          <w:kern w:val="0"/>
          <w:sz w:val="23"/>
          <w:szCs w:val="23"/>
          <w:highlight w:val="none"/>
        </w:rPr>
      </w:pPr>
      <w:r>
        <w:rPr>
          <w:rFonts w:hint="eastAsia" w:ascii="华文宋体" w:hAnsi="华文宋体" w:eastAsia="华文宋体" w:cs="华文宋体"/>
          <w:b/>
          <w:bCs/>
          <w:color w:val="auto"/>
          <w:kern w:val="0"/>
          <w:sz w:val="23"/>
          <w:szCs w:val="23"/>
          <w:highlight w:val="none"/>
        </w:rPr>
        <w:t>综合评审</w:t>
      </w:r>
    </w:p>
    <w:p>
      <w:pPr>
        <w:numPr>
          <w:ilvl w:val="0"/>
          <w:numId w:val="82"/>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经磋商确定最终采购需求和提交最后报价的供应商后，由磋商小组采用综合评分法对提交最后报价的供应商的响应文件和最后报价进行综合评分。</w:t>
      </w:r>
    </w:p>
    <w:p>
      <w:pPr>
        <w:numPr>
          <w:ilvl w:val="0"/>
          <w:numId w:val="83"/>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评审办法及标准见第四章。</w:t>
      </w:r>
    </w:p>
    <w:p>
      <w:pPr>
        <w:numPr>
          <w:ilvl w:val="0"/>
          <w:numId w:val="84"/>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评审时，磋商小组成员应当独立对每个有效响应的文件进行评价、打分，然后汇总每个供应商每项评分因素的得分。</w:t>
      </w:r>
    </w:p>
    <w:p>
      <w:pPr>
        <w:numPr>
          <w:ilvl w:val="0"/>
          <w:numId w:val="85"/>
        </w:numPr>
        <w:autoSpaceDE w:val="0"/>
        <w:autoSpaceDN w:val="0"/>
        <w:adjustRightInd w:val="0"/>
        <w:spacing w:line="410" w:lineRule="exact"/>
        <w:ind w:left="0" w:firstLine="0"/>
        <w:jc w:val="left"/>
        <w:rPr>
          <w:rFonts w:hint="eastAsia" w:ascii="华文宋体" w:hAnsi="华文宋体" w:eastAsia="华文宋体" w:cs="华文宋体"/>
          <w:b/>
          <w:bCs/>
          <w:color w:val="auto"/>
          <w:kern w:val="0"/>
          <w:sz w:val="23"/>
          <w:szCs w:val="23"/>
          <w:highlight w:val="none"/>
        </w:rPr>
      </w:pPr>
      <w:r>
        <w:rPr>
          <w:rFonts w:hint="eastAsia" w:ascii="华文宋体" w:hAnsi="华文宋体" w:eastAsia="华文宋体" w:cs="华文宋体"/>
          <w:b/>
          <w:bCs/>
          <w:color w:val="auto"/>
          <w:kern w:val="0"/>
          <w:sz w:val="23"/>
          <w:szCs w:val="23"/>
          <w:highlight w:val="none"/>
        </w:rPr>
        <w:t>提出成交供应商</w:t>
      </w:r>
    </w:p>
    <w:p>
      <w:pPr>
        <w:numPr>
          <w:ilvl w:val="0"/>
          <w:numId w:val="86"/>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磋商小组应当按照综合评分由高到低的顺序提出3名以上成交候选供应商，并编写评审报告。市场竞争不充分的科研项目、需要扶持的科技成果转化项目，以及政府购买服务项目，可以推荐2家成交候选供应商。</w:t>
      </w:r>
    </w:p>
    <w:p>
      <w:pPr>
        <w:numPr>
          <w:ilvl w:val="0"/>
          <w:numId w:val="87"/>
        </w:numPr>
        <w:tabs>
          <w:tab w:val="left" w:pos="630"/>
        </w:tabs>
        <w:autoSpaceDE w:val="0"/>
        <w:autoSpaceDN w:val="0"/>
        <w:adjustRightInd w:val="0"/>
        <w:spacing w:line="410" w:lineRule="exact"/>
        <w:ind w:left="0" w:firstLine="0"/>
        <w:jc w:val="left"/>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rPr>
        <w:t>评审得分相同的，按照最后报价由低到高的顺序推荐。评审得分且最后报价相同的，按照技术指标优劣顺序推荐。</w:t>
      </w:r>
    </w:p>
    <w:p>
      <w:pPr>
        <w:numPr>
          <w:ilvl w:val="3"/>
          <w:numId w:val="8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确定成交供应商</w:t>
      </w:r>
    </w:p>
    <w:p>
      <w:pPr>
        <w:numPr>
          <w:ilvl w:val="0"/>
          <w:numId w:val="89"/>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采购代理机构应当在评审结束之日起2个工作日内将评审报告送采购人。</w:t>
      </w:r>
    </w:p>
    <w:p>
      <w:pPr>
        <w:numPr>
          <w:ilvl w:val="0"/>
          <w:numId w:val="89"/>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采购人应当在收到评审报告之日起5个工作日内，从评审报告提出的成交供应商中，按照排序由高到低的原则确定成交供应商。也可以书面授权磋商小组直接确定成交供应商。</w:t>
      </w:r>
    </w:p>
    <w:p>
      <w:pPr>
        <w:numPr>
          <w:ilvl w:val="3"/>
          <w:numId w:val="90"/>
        </w:numPr>
        <w:tabs>
          <w:tab w:val="left" w:pos="630"/>
        </w:tabs>
        <w:spacing w:line="410" w:lineRule="exact"/>
        <w:ind w:left="0" w:firstLine="0"/>
        <w:outlineLvl w:val="3"/>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采购人自行组织磋商的，应当在评审结束之日起5个工作日内确定成交供应商。</w:t>
      </w:r>
    </w:p>
    <w:p>
      <w:pPr>
        <w:numPr>
          <w:ilvl w:val="3"/>
          <w:numId w:val="91"/>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磋商终止</w:t>
      </w:r>
    </w:p>
    <w:p>
      <w:pPr>
        <w:numPr>
          <w:ilvl w:val="0"/>
          <w:numId w:val="92"/>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出现下列情形之一的，采购人或者采购代理机构应当终止竞争性磋商采购活动，在财政部指定的媒体上发布项目终止公告并说明原因，重新开展采购活动：</w:t>
      </w:r>
    </w:p>
    <w:p>
      <w:pPr>
        <w:numPr>
          <w:ilvl w:val="0"/>
          <w:numId w:val="93"/>
        </w:numPr>
        <w:spacing w:line="410" w:lineRule="exact"/>
        <w:ind w:left="0" w:firstLine="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因情况变化，不再符合规定的竞争性磋商采购方式适用情形的；</w:t>
      </w:r>
    </w:p>
    <w:p>
      <w:pPr>
        <w:numPr>
          <w:ilvl w:val="0"/>
          <w:numId w:val="93"/>
        </w:numPr>
        <w:spacing w:line="410" w:lineRule="exact"/>
        <w:ind w:left="0" w:firstLine="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出现影响采购公正的违法、违规行为的；</w:t>
      </w:r>
    </w:p>
    <w:p>
      <w:pPr>
        <w:numPr>
          <w:ilvl w:val="0"/>
          <w:numId w:val="93"/>
        </w:numPr>
        <w:spacing w:line="410" w:lineRule="exact"/>
        <w:ind w:left="0" w:firstLine="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除市场竞争不充分的科研项目、需要扶持的科技成果转化项目，以及政府购买服务项目外，在采购过程中符合竞争要求的供应商或者参加竞争性磋商采购未超过采购预算的供应商不足3家的，或者提交最后报价的供应商少于3家的；</w:t>
      </w:r>
    </w:p>
    <w:p>
      <w:pPr>
        <w:numPr>
          <w:ilvl w:val="0"/>
          <w:numId w:val="93"/>
        </w:numPr>
        <w:spacing w:line="410" w:lineRule="exact"/>
        <w:ind w:left="0" w:firstLine="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因重大变故，采购任务取消的。</w:t>
      </w:r>
    </w:p>
    <w:p>
      <w:pPr>
        <w:numPr>
          <w:ilvl w:val="3"/>
          <w:numId w:val="94"/>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重新评审</w:t>
      </w:r>
    </w:p>
    <w:p>
      <w:pPr>
        <w:numPr>
          <w:ilvl w:val="0"/>
          <w:numId w:val="95"/>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除资格审查认定错误、分值汇总计算错误、分项评分超出评分标准范围、客观分评分不一致、经磋商小组一致认定评分畸高、畸低的情形外，采购人或者采购代理机构不得以任何理由组织重新评审。</w:t>
      </w:r>
    </w:p>
    <w:p>
      <w:pPr>
        <w:numPr>
          <w:ilvl w:val="3"/>
          <w:numId w:val="96"/>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保密</w:t>
      </w:r>
    </w:p>
    <w:p>
      <w:pPr>
        <w:numPr>
          <w:ilvl w:val="0"/>
          <w:numId w:val="97"/>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磋商小组成员以及评审工作有关的人员不得泄露评审情况以及评审过程中的获悉的国家秘密、商业秘密。</w:t>
      </w:r>
    </w:p>
    <w:p>
      <w:pPr>
        <w:numPr>
          <w:ilvl w:val="0"/>
          <w:numId w:val="98"/>
        </w:numPr>
        <w:spacing w:line="410" w:lineRule="exact"/>
        <w:ind w:left="0" w:firstLine="0"/>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禁止行为</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供应商不得与采购人、采购代理机构、其他供应商恶意串通；不得向采购人、采购代理机构或者磋商小组成员行贿或者提供其他不正当利益；不得提供虚假材料谋取成交；不得以任何方式干扰、影响采购工作。</w:t>
      </w:r>
    </w:p>
    <w:p>
      <w:pPr>
        <w:spacing w:line="41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b/>
          <w:color w:val="auto"/>
          <w:sz w:val="23"/>
          <w:szCs w:val="23"/>
          <w:highlight w:val="none"/>
        </w:rPr>
        <w:t>五、成交结果信息公布与签订合同</w:t>
      </w:r>
    </w:p>
    <w:p>
      <w:pPr>
        <w:numPr>
          <w:ilvl w:val="3"/>
          <w:numId w:val="99"/>
        </w:numPr>
        <w:spacing w:line="410" w:lineRule="exact"/>
        <w:ind w:left="0" w:firstLine="0"/>
        <w:outlineLvl w:val="3"/>
        <w:rPr>
          <w:rFonts w:hint="eastAsia" w:ascii="华文宋体" w:hAnsi="华文宋体" w:eastAsia="华文宋体" w:cs="华文宋体"/>
          <w:b/>
          <w:bCs/>
          <w:color w:val="auto"/>
          <w:sz w:val="23"/>
          <w:szCs w:val="23"/>
          <w:highlight w:val="none"/>
        </w:rPr>
      </w:pPr>
      <w:bookmarkStart w:id="90" w:name="_Hlk517268298"/>
      <w:r>
        <w:rPr>
          <w:rFonts w:hint="eastAsia" w:ascii="华文宋体" w:hAnsi="华文宋体" w:eastAsia="华文宋体" w:cs="华文宋体"/>
          <w:b/>
          <w:bCs/>
          <w:color w:val="auto"/>
          <w:sz w:val="23"/>
          <w:szCs w:val="23"/>
          <w:highlight w:val="none"/>
        </w:rPr>
        <w:t>成交信息的公布</w:t>
      </w:r>
    </w:p>
    <w:bookmarkEnd w:id="90"/>
    <w:p>
      <w:pPr>
        <w:numPr>
          <w:ilvl w:val="0"/>
          <w:numId w:val="100"/>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成交供应商确定之日起2个工作日内，采购人或者采购代理机构应在供应商须知前附表中规定的公告媒体上公布成交结果信息。</w:t>
      </w:r>
    </w:p>
    <w:p>
      <w:pPr>
        <w:numPr>
          <w:ilvl w:val="4"/>
          <w:numId w:val="101"/>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竞争性磋商文件随成交结果同时公告。但成交结果公告前竞争性磋商文件已公告的，不再重复公告。</w:t>
      </w:r>
    </w:p>
    <w:p>
      <w:pPr>
        <w:numPr>
          <w:ilvl w:val="4"/>
          <w:numId w:val="102"/>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采用书面推荐供应商参加采购活动的，在公告结果同时公告采购人和评审专家的推荐意见。</w:t>
      </w:r>
    </w:p>
    <w:p>
      <w:pPr>
        <w:numPr>
          <w:ilvl w:val="3"/>
          <w:numId w:val="103"/>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成交通知</w:t>
      </w:r>
    </w:p>
    <w:p>
      <w:pPr>
        <w:numPr>
          <w:ilvl w:val="0"/>
          <w:numId w:val="104"/>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成交供应商确定后，采购人或者采购代理机构应当自发布成交公告的同时以书面形式向成交供应商发出成交通知书。成交通知书对采购人和成交供应商具有同等法律效力。</w:t>
      </w:r>
    </w:p>
    <w:p>
      <w:pPr>
        <w:numPr>
          <w:ilvl w:val="3"/>
          <w:numId w:val="105"/>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履约保证金</w:t>
      </w:r>
    </w:p>
    <w:p>
      <w:pPr>
        <w:numPr>
          <w:ilvl w:val="0"/>
          <w:numId w:val="106"/>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成交供应商按照供应商须知前附表的规定，在签订采购合同前或签订采购合同后规定的工作日期限内，向采购人提交履约保证金。</w:t>
      </w:r>
    </w:p>
    <w:p>
      <w:pPr>
        <w:numPr>
          <w:ilvl w:val="4"/>
          <w:numId w:val="107"/>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成交供应商没有按照供应商须知前附表的规定提交履约保证金的，视为放弃成交资格，其磋商保证金不予退还。</w:t>
      </w:r>
    </w:p>
    <w:p>
      <w:pPr>
        <w:numPr>
          <w:ilvl w:val="3"/>
          <w:numId w:val="108"/>
        </w:numPr>
        <w:spacing w:line="41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签订合同</w:t>
      </w:r>
    </w:p>
    <w:p>
      <w:pPr>
        <w:numPr>
          <w:ilvl w:val="0"/>
          <w:numId w:val="109"/>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竞争性磋商文件、成交供应商的磋商响应文件及补充文件等均为签订政府采购合同的依据。</w:t>
      </w:r>
    </w:p>
    <w:p>
      <w:pPr>
        <w:numPr>
          <w:ilvl w:val="0"/>
          <w:numId w:val="109"/>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成交供应商应当在成交通知书发出之日起30日内与采购人签订政府采购合同。</w:t>
      </w:r>
    </w:p>
    <w:p>
      <w:pPr>
        <w:numPr>
          <w:ilvl w:val="0"/>
          <w:numId w:val="109"/>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采购人不得向成交供应商提出超出竞争性磋商文件以外的任何要求作为签订合同的条件，不得与成交供应商订立背离竞争性磋商文件确定的合同文本以及采购标的、规格型号、采购金额、采购数量、技术和服务要求等实质性内容的协议。</w:t>
      </w:r>
    </w:p>
    <w:p>
      <w:pPr>
        <w:numPr>
          <w:ilvl w:val="0"/>
          <w:numId w:val="109"/>
        </w:numPr>
        <w:tabs>
          <w:tab w:val="left" w:pos="630"/>
        </w:tabs>
        <w:spacing w:line="41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自政府采购合同签订之日起2个工作日内，本项目政府采购合同在供应商须知前附表规定的媒体上公告，但政府采购合同中涉及国家秘密、商业秘密的内容除外。</w:t>
      </w:r>
    </w:p>
    <w:p>
      <w:pPr>
        <w:rPr>
          <w:rFonts w:hint="eastAsia" w:ascii="华文宋体" w:hAnsi="华文宋体" w:eastAsia="华文宋体" w:cs="华文宋体"/>
          <w:color w:val="auto"/>
          <w:highlight w:val="none"/>
        </w:rPr>
      </w:pPr>
    </w:p>
    <w:p>
      <w:pPr>
        <w:spacing w:line="410" w:lineRule="exact"/>
        <w:outlineLvl w:val="2"/>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b/>
          <w:color w:val="auto"/>
          <w:sz w:val="23"/>
          <w:szCs w:val="23"/>
          <w:highlight w:val="none"/>
        </w:rPr>
        <w:t>六、其他规定</w:t>
      </w:r>
    </w:p>
    <w:p>
      <w:pPr>
        <w:numPr>
          <w:ilvl w:val="3"/>
          <w:numId w:val="110"/>
        </w:numPr>
        <w:spacing w:line="40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采购代理服务费</w:t>
      </w:r>
    </w:p>
    <w:p>
      <w:pPr>
        <w:numPr>
          <w:ilvl w:val="0"/>
          <w:numId w:val="111"/>
        </w:numPr>
        <w:tabs>
          <w:tab w:val="left" w:pos="630"/>
        </w:tabs>
        <w:spacing w:line="400" w:lineRule="exact"/>
        <w:ind w:left="0" w:firstLine="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成交供应商是否交纳投采购代理服务费及相关要求见</w:t>
      </w:r>
      <w:r>
        <w:rPr>
          <w:rFonts w:hint="eastAsia" w:ascii="华文宋体" w:hAnsi="华文宋体" w:eastAsia="华文宋体" w:cs="华文宋体"/>
          <w:bCs/>
          <w:color w:val="auto"/>
          <w:sz w:val="23"/>
          <w:szCs w:val="23"/>
          <w:highlight w:val="none"/>
        </w:rPr>
        <w:t>供应商须知前附表</w:t>
      </w:r>
      <w:r>
        <w:rPr>
          <w:rFonts w:hint="eastAsia" w:ascii="华文宋体" w:hAnsi="华文宋体" w:eastAsia="华文宋体" w:cs="华文宋体"/>
          <w:color w:val="auto"/>
          <w:sz w:val="23"/>
          <w:szCs w:val="23"/>
          <w:highlight w:val="none"/>
        </w:rPr>
        <w:t>。</w:t>
      </w:r>
    </w:p>
    <w:p>
      <w:pPr>
        <w:numPr>
          <w:ilvl w:val="3"/>
          <w:numId w:val="112"/>
        </w:numPr>
        <w:spacing w:line="40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询问、质疑、投诉</w:t>
      </w:r>
    </w:p>
    <w:p>
      <w:pPr>
        <w:numPr>
          <w:ilvl w:val="0"/>
          <w:numId w:val="113"/>
        </w:numPr>
        <w:tabs>
          <w:tab w:val="left" w:pos="630"/>
        </w:tabs>
        <w:spacing w:line="40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供应商对政府采购活动事项有疑问的，可以向采购人或采购代理机构提出询问，采购人应当及时作出答复，但答复的内容不得涉及商业秘密。</w:t>
      </w:r>
    </w:p>
    <w:p>
      <w:pPr>
        <w:numPr>
          <w:ilvl w:val="0"/>
          <w:numId w:val="113"/>
        </w:numPr>
        <w:tabs>
          <w:tab w:val="left" w:pos="630"/>
        </w:tabs>
        <w:spacing w:line="40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供应商认为竞争性磋商文件、磋商过程和成交结果使自己的权益受到损害的，可以在知道或者应知其权益受到损害之日起7个工作日内，以书面形式向采购人提出质疑。</w:t>
      </w:r>
    </w:p>
    <w:p>
      <w:pPr>
        <w:numPr>
          <w:ilvl w:val="0"/>
          <w:numId w:val="113"/>
        </w:numPr>
        <w:tabs>
          <w:tab w:val="left" w:pos="630"/>
        </w:tabs>
        <w:spacing w:line="40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供应商对采购人或采购代理机构的答复不满意，或采购人或采购代理机构未在规定的期限作出答复的，可在答复期满后15个工作日内，按政府采购法律法规规定及程序，向财政部提出投诉。</w:t>
      </w:r>
    </w:p>
    <w:p>
      <w:pPr>
        <w:numPr>
          <w:ilvl w:val="4"/>
          <w:numId w:val="114"/>
        </w:numPr>
        <w:spacing w:line="400" w:lineRule="exact"/>
        <w:ind w:left="0" w:firstLine="0"/>
        <w:outlineLvl w:val="4"/>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成交供应商有下列情形之一的，将被列入不良行为记录名单，在1至3年内禁止参加政府采购活动，并予以通报：</w:t>
      </w:r>
    </w:p>
    <w:p>
      <w:pPr>
        <w:spacing w:line="400" w:lineRule="exact"/>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(1)成交后无正当理由不与采购人签订合同的；</w:t>
      </w:r>
    </w:p>
    <w:p>
      <w:pPr>
        <w:spacing w:line="400" w:lineRule="exact"/>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(2)未按照采购文件确定的事项签订政府采购合同，或者与采购人另行订立背离合同实质性内容的协议的；</w:t>
      </w:r>
    </w:p>
    <w:p>
      <w:pPr>
        <w:spacing w:line="400" w:lineRule="exact"/>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(3)拒绝履行合同义务的；</w:t>
      </w:r>
    </w:p>
    <w:p>
      <w:pPr>
        <w:spacing w:line="400" w:lineRule="exact"/>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(4)《政府采购法》第七十七条和《政府采购法实施条例》第七十二条规定的其他情形；</w:t>
      </w:r>
    </w:p>
    <w:p>
      <w:pPr>
        <w:spacing w:line="400" w:lineRule="exact"/>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(5)其他违反法律法规相关规定的情形。</w:t>
      </w:r>
    </w:p>
    <w:p>
      <w:pPr>
        <w:numPr>
          <w:ilvl w:val="0"/>
          <w:numId w:val="115"/>
        </w:numPr>
        <w:spacing w:line="40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其他规定</w:t>
      </w:r>
    </w:p>
    <w:p>
      <w:pPr>
        <w:numPr>
          <w:ilvl w:val="0"/>
          <w:numId w:val="116"/>
        </w:numPr>
        <w:tabs>
          <w:tab w:val="left" w:pos="630"/>
        </w:tabs>
        <w:spacing w:line="40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磋商文件的其他规定见供应商须知前附表。</w:t>
      </w:r>
    </w:p>
    <w:p>
      <w:pPr>
        <w:numPr>
          <w:ilvl w:val="3"/>
          <w:numId w:val="117"/>
        </w:numPr>
        <w:spacing w:line="40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未尽事宜</w:t>
      </w:r>
    </w:p>
    <w:p>
      <w:pPr>
        <w:numPr>
          <w:ilvl w:val="0"/>
          <w:numId w:val="118"/>
        </w:numPr>
        <w:tabs>
          <w:tab w:val="left" w:pos="630"/>
        </w:tabs>
        <w:spacing w:line="400" w:lineRule="exact"/>
        <w:ind w:left="0" w:firstLine="0"/>
        <w:outlineLvl w:val="4"/>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其他未尽事宜按政府采购法律法规的规定执行。</w:t>
      </w:r>
    </w:p>
    <w:p>
      <w:pPr>
        <w:numPr>
          <w:ilvl w:val="3"/>
          <w:numId w:val="119"/>
        </w:numPr>
        <w:spacing w:line="400" w:lineRule="exact"/>
        <w:ind w:left="0" w:firstLine="0"/>
        <w:outlineLvl w:val="3"/>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文件解释权</w:t>
      </w:r>
    </w:p>
    <w:p>
      <w:pPr>
        <w:spacing w:line="400" w:lineRule="exact"/>
        <w:outlineLvl w:val="2"/>
        <w:rPr>
          <w:rFonts w:hint="eastAsia" w:ascii="华文宋体" w:hAnsi="华文宋体" w:eastAsia="华文宋体" w:cs="华文宋体"/>
          <w:b/>
          <w:bCs/>
          <w:color w:val="auto"/>
          <w:sz w:val="24"/>
          <w:highlight w:val="none"/>
        </w:rPr>
      </w:pPr>
      <w:r>
        <w:rPr>
          <w:rFonts w:hint="eastAsia" w:ascii="华文宋体" w:hAnsi="华文宋体" w:eastAsia="华文宋体" w:cs="华文宋体"/>
          <w:color w:val="auto"/>
          <w:sz w:val="23"/>
          <w:szCs w:val="23"/>
          <w:highlight w:val="none"/>
        </w:rPr>
        <w:t>本竞争性磋商文件的解释权归采购人（或采购代理机构）所有。</w:t>
      </w:r>
    </w:p>
    <w:p>
      <w:pPr>
        <w:autoSpaceDE w:val="0"/>
        <w:autoSpaceDN w:val="0"/>
        <w:snapToGrid w:val="0"/>
        <w:spacing w:line="240" w:lineRule="exact"/>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bCs/>
          <w:color w:val="auto"/>
          <w:sz w:val="23"/>
          <w:szCs w:val="23"/>
          <w:highlight w:val="none"/>
        </w:rPr>
        <w:br w:type="page"/>
      </w:r>
      <w:r>
        <w:rPr>
          <w:rFonts w:hint="eastAsia" w:ascii="华文宋体" w:hAnsi="华文宋体" w:eastAsia="华文宋体" w:cs="华文宋体"/>
          <w:b/>
          <w:bCs/>
          <w:color w:val="auto"/>
          <w:sz w:val="23"/>
          <w:szCs w:val="23"/>
          <w:highlight w:val="none"/>
        </w:rPr>
        <w:t>附件：询问函、质疑函格式</w:t>
      </w:r>
    </w:p>
    <w:p>
      <w:pPr>
        <w:snapToGrid w:val="0"/>
        <w:spacing w:line="360" w:lineRule="auto"/>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说明：本部分格式为供应商提交询问函、质疑函时使用，不属于响应文件格式的组成部分。</w:t>
      </w:r>
    </w:p>
    <w:p>
      <w:pPr>
        <w:pStyle w:val="27"/>
        <w:snapToGrid w:val="0"/>
        <w:spacing w:before="0" w:beforeAutospacing="0" w:after="0" w:afterAutospacing="0" w:line="360" w:lineRule="auto"/>
        <w:rPr>
          <w:rFonts w:hint="eastAsia" w:ascii="华文宋体" w:hAnsi="华文宋体" w:eastAsia="华文宋体" w:cs="华文宋体"/>
          <w:color w:val="auto"/>
          <w:sz w:val="23"/>
          <w:szCs w:val="23"/>
          <w:highlight w:val="none"/>
        </w:rPr>
      </w:pPr>
    </w:p>
    <w:p>
      <w:pPr>
        <w:pStyle w:val="27"/>
        <w:snapToGrid w:val="0"/>
        <w:spacing w:before="0" w:beforeAutospacing="0" w:after="0" w:afterAutospacing="0" w:line="360" w:lineRule="auto"/>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1.询问函格式</w:t>
      </w:r>
    </w:p>
    <w:p>
      <w:pPr>
        <w:pStyle w:val="27"/>
        <w:spacing w:before="0" w:beforeAutospacing="0" w:after="0" w:afterAutospacing="0" w:line="360" w:lineRule="auto"/>
        <w:jc w:val="center"/>
        <w:rPr>
          <w:rStyle w:val="33"/>
          <w:rFonts w:hint="eastAsia" w:ascii="华文宋体" w:hAnsi="华文宋体" w:eastAsia="华文宋体" w:cs="华文宋体"/>
          <w:color w:val="auto"/>
          <w:sz w:val="23"/>
          <w:szCs w:val="23"/>
          <w:highlight w:val="none"/>
        </w:rPr>
      </w:pPr>
      <w:r>
        <w:rPr>
          <w:rStyle w:val="33"/>
          <w:rFonts w:hint="eastAsia" w:ascii="华文宋体" w:hAnsi="华文宋体" w:eastAsia="华文宋体" w:cs="华文宋体"/>
          <w:color w:val="auto"/>
          <w:sz w:val="23"/>
          <w:szCs w:val="23"/>
          <w:highlight w:val="none"/>
        </w:rPr>
        <w:t>询问函</w:t>
      </w:r>
    </w:p>
    <w:p>
      <w:pPr>
        <w:widowControl/>
        <w:snapToGrid w:val="0"/>
        <w:spacing w:line="360" w:lineRule="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u w:val="single"/>
        </w:rPr>
        <w:t>广东公采招标有限公司</w:t>
      </w:r>
      <w:r>
        <w:rPr>
          <w:rFonts w:hint="eastAsia" w:ascii="华文宋体" w:hAnsi="华文宋体" w:eastAsia="华文宋体" w:cs="华文宋体"/>
          <w:color w:val="auto"/>
          <w:sz w:val="23"/>
          <w:szCs w:val="23"/>
          <w:highlight w:val="none"/>
        </w:rPr>
        <w:t>：</w:t>
      </w:r>
    </w:p>
    <w:p>
      <w:pPr>
        <w:widowControl/>
        <w:tabs>
          <w:tab w:val="left" w:pos="6300"/>
        </w:tabs>
        <w:snapToGrid w:val="0"/>
        <w:spacing w:line="360" w:lineRule="auto"/>
        <w:ind w:firstLine="460" w:firstLineChars="20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我单位已报名并准备参与</w:t>
      </w:r>
      <w:r>
        <w:rPr>
          <w:rFonts w:hint="eastAsia" w:ascii="华文宋体" w:hAnsi="华文宋体" w:eastAsia="华文宋体" w:cs="华文宋体"/>
          <w:color w:val="auto"/>
          <w:sz w:val="23"/>
          <w:szCs w:val="23"/>
          <w:highlight w:val="none"/>
          <w:u w:val="single"/>
        </w:rPr>
        <w:t>（项目名称：）</w:t>
      </w:r>
      <w:r>
        <w:rPr>
          <w:rFonts w:hint="eastAsia" w:ascii="华文宋体" w:hAnsi="华文宋体" w:eastAsia="华文宋体" w:cs="华文宋体"/>
          <w:color w:val="auto"/>
          <w:sz w:val="23"/>
          <w:szCs w:val="23"/>
          <w:highlight w:val="none"/>
        </w:rPr>
        <w:t>（项目编号:）的采购活动，现有以下几个内容（或条款）存在疑问（或无法理解），特提出询问。</w:t>
      </w:r>
    </w:p>
    <w:p>
      <w:pPr>
        <w:widowControl/>
        <w:tabs>
          <w:tab w:val="center" w:pos="5019"/>
        </w:tabs>
        <w:snapToGrid w:val="0"/>
        <w:spacing w:line="360" w:lineRule="auto"/>
        <w:ind w:firstLine="460" w:firstLineChars="20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一、_____________________（事项一）</w:t>
      </w:r>
      <w:r>
        <w:rPr>
          <w:rFonts w:hint="eastAsia" w:ascii="华文宋体" w:hAnsi="华文宋体" w:eastAsia="华文宋体" w:cs="华文宋体"/>
          <w:color w:val="auto"/>
          <w:sz w:val="23"/>
          <w:szCs w:val="23"/>
          <w:highlight w:val="none"/>
        </w:rPr>
        <w:tab/>
      </w:r>
    </w:p>
    <w:p>
      <w:pPr>
        <w:widowControl/>
        <w:tabs>
          <w:tab w:val="left" w:pos="6300"/>
        </w:tabs>
        <w:snapToGrid w:val="0"/>
        <w:spacing w:line="360" w:lineRule="auto"/>
        <w:ind w:firstLine="345" w:firstLineChars="15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（1）____________________（问题或条款内容）</w:t>
      </w:r>
    </w:p>
    <w:p>
      <w:pPr>
        <w:widowControl/>
        <w:tabs>
          <w:tab w:val="left" w:pos="6300"/>
        </w:tabs>
        <w:snapToGrid w:val="0"/>
        <w:spacing w:line="360" w:lineRule="auto"/>
        <w:ind w:firstLine="345" w:firstLineChars="15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（2）____________________（说明疑问或无法理解原因）</w:t>
      </w:r>
    </w:p>
    <w:p>
      <w:pPr>
        <w:widowControl/>
        <w:tabs>
          <w:tab w:val="left" w:pos="6300"/>
        </w:tabs>
        <w:snapToGrid w:val="0"/>
        <w:spacing w:line="360" w:lineRule="auto"/>
        <w:ind w:firstLine="345" w:firstLineChars="15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（3）____________________（建议）</w:t>
      </w:r>
    </w:p>
    <w:p>
      <w:pPr>
        <w:widowControl/>
        <w:tabs>
          <w:tab w:val="left" w:pos="6300"/>
        </w:tabs>
        <w:snapToGrid w:val="0"/>
        <w:spacing w:line="360" w:lineRule="auto"/>
        <w:ind w:firstLine="460" w:firstLineChars="20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二、_____________________（事项二）</w:t>
      </w:r>
    </w:p>
    <w:p>
      <w:pPr>
        <w:widowControl/>
        <w:tabs>
          <w:tab w:val="left" w:pos="6300"/>
        </w:tabs>
        <w:snapToGrid w:val="0"/>
        <w:spacing w:line="360" w:lineRule="auto"/>
        <w:ind w:firstLine="460" w:firstLineChars="20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w:t>
      </w:r>
    </w:p>
    <w:p>
      <w:pPr>
        <w:widowControl/>
        <w:tabs>
          <w:tab w:val="left" w:pos="6300"/>
        </w:tabs>
        <w:snapToGrid w:val="0"/>
        <w:spacing w:line="360" w:lineRule="auto"/>
        <w:jc w:val="left"/>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随附相关证明材料如下：（目录）。</w:t>
      </w:r>
    </w:p>
    <w:p>
      <w:pPr>
        <w:widowControl/>
        <w:tabs>
          <w:tab w:val="left" w:pos="6300"/>
        </w:tabs>
        <w:snapToGrid w:val="0"/>
        <w:spacing w:line="360" w:lineRule="auto"/>
        <w:ind w:firstLine="1380" w:firstLineChars="600"/>
        <w:rPr>
          <w:rFonts w:hint="eastAsia" w:ascii="华文宋体" w:hAnsi="华文宋体" w:eastAsia="华文宋体" w:cs="华文宋体"/>
          <w:color w:val="auto"/>
          <w:sz w:val="23"/>
          <w:szCs w:val="23"/>
          <w:highlight w:val="none"/>
        </w:rPr>
      </w:pPr>
    </w:p>
    <w:p>
      <w:pPr>
        <w:widowControl/>
        <w:tabs>
          <w:tab w:val="left" w:pos="6300"/>
        </w:tabs>
        <w:snapToGrid w:val="0"/>
        <w:spacing w:after="120" w:afterLines="50" w:line="360" w:lineRule="auto"/>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询问人（公章）：</w:t>
      </w:r>
    </w:p>
    <w:p>
      <w:pPr>
        <w:widowControl/>
        <w:tabs>
          <w:tab w:val="left" w:pos="6300"/>
        </w:tabs>
        <w:snapToGrid w:val="0"/>
        <w:spacing w:after="120" w:afterLines="50" w:line="360" w:lineRule="auto"/>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法定代表人（授权代表）：</w:t>
      </w:r>
    </w:p>
    <w:p>
      <w:pPr>
        <w:tabs>
          <w:tab w:val="left" w:pos="6300"/>
        </w:tabs>
        <w:snapToGrid w:val="0"/>
        <w:spacing w:after="120" w:afterLines="50" w:line="360" w:lineRule="auto"/>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地址/邮编：</w:t>
      </w:r>
    </w:p>
    <w:p>
      <w:pPr>
        <w:tabs>
          <w:tab w:val="left" w:pos="6300"/>
        </w:tabs>
        <w:snapToGrid w:val="0"/>
        <w:spacing w:after="120" w:afterLines="50" w:line="360" w:lineRule="auto"/>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电话/传真：</w:t>
      </w:r>
    </w:p>
    <w:p>
      <w:pPr>
        <w:tabs>
          <w:tab w:val="left" w:pos="6300"/>
        </w:tabs>
        <w:snapToGrid w:val="0"/>
        <w:spacing w:after="120" w:afterLines="50" w:line="360" w:lineRule="auto"/>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bCs/>
          <w:color w:val="auto"/>
          <w:sz w:val="23"/>
          <w:szCs w:val="23"/>
          <w:highlight w:val="none"/>
        </w:rPr>
        <w:t>电子邮箱：</w:t>
      </w:r>
      <w:r>
        <w:rPr>
          <w:rFonts w:hint="eastAsia" w:ascii="华文宋体" w:hAnsi="华文宋体" w:eastAsia="华文宋体" w:cs="华文宋体"/>
          <w:color w:val="auto"/>
          <w:sz w:val="23"/>
          <w:szCs w:val="23"/>
          <w:highlight w:val="none"/>
        </w:rPr>
        <w:t xml:space="preserve"> </w:t>
      </w:r>
    </w:p>
    <w:p>
      <w:pPr>
        <w:wordWrap w:val="0"/>
        <w:spacing w:line="360" w:lineRule="auto"/>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日期：  年   月  日</w:t>
      </w:r>
    </w:p>
    <w:p>
      <w:pPr>
        <w:snapToGrid w:val="0"/>
        <w:spacing w:line="360" w:lineRule="auto"/>
        <w:ind w:firstLine="462" w:firstLineChars="201"/>
        <w:rPr>
          <w:rFonts w:hint="eastAsia" w:ascii="华文宋体" w:hAnsi="华文宋体" w:eastAsia="华文宋体" w:cs="华文宋体"/>
          <w:color w:val="auto"/>
          <w:sz w:val="23"/>
          <w:szCs w:val="23"/>
          <w:highlight w:val="none"/>
        </w:rPr>
      </w:pPr>
    </w:p>
    <w:p>
      <w:pPr>
        <w:pStyle w:val="27"/>
        <w:snapToGrid w:val="0"/>
        <w:spacing w:before="0" w:beforeAutospacing="0" w:after="0" w:afterAutospacing="0" w:line="360" w:lineRule="auto"/>
        <w:rPr>
          <w:rFonts w:hint="eastAsia" w:ascii="华文宋体" w:hAnsi="华文宋体" w:eastAsia="华文宋体" w:cs="华文宋体"/>
          <w:color w:val="auto"/>
          <w:sz w:val="23"/>
          <w:szCs w:val="23"/>
          <w:highlight w:val="none"/>
        </w:rPr>
      </w:pPr>
    </w:p>
    <w:p>
      <w:pPr>
        <w:autoSpaceDE w:val="0"/>
        <w:autoSpaceDN w:val="0"/>
        <w:spacing w:line="24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b/>
          <w:color w:val="auto"/>
          <w:sz w:val="23"/>
          <w:szCs w:val="23"/>
          <w:highlight w:val="none"/>
        </w:rPr>
        <w:br w:type="page"/>
      </w:r>
      <w:r>
        <w:rPr>
          <w:rFonts w:hint="eastAsia" w:ascii="华文宋体" w:hAnsi="华文宋体" w:eastAsia="华文宋体" w:cs="华文宋体"/>
          <w:b/>
          <w:color w:val="auto"/>
          <w:sz w:val="23"/>
          <w:szCs w:val="23"/>
          <w:highlight w:val="none"/>
        </w:rPr>
        <w:t>2.质疑函格式</w:t>
      </w:r>
    </w:p>
    <w:p>
      <w:pPr>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质疑函范本</w:t>
      </w:r>
    </w:p>
    <w:p>
      <w:pPr>
        <w:snapToGrid w:val="0"/>
        <w:spacing w:line="440" w:lineRule="exact"/>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一、质疑供应商基本信息</w:t>
      </w:r>
    </w:p>
    <w:p>
      <w:pPr>
        <w:snapToGrid w:val="0"/>
        <w:spacing w:line="440" w:lineRule="exact"/>
        <w:rPr>
          <w:rFonts w:hint="eastAsia" w:ascii="华文宋体" w:hAnsi="华文宋体" w:eastAsia="华文宋体" w:cs="华文宋体"/>
          <w:color w:val="auto"/>
          <w:sz w:val="23"/>
          <w:szCs w:val="23"/>
          <w:highlight w:val="none"/>
          <w:u w:val="dotted"/>
        </w:rPr>
      </w:pPr>
      <w:r>
        <w:rPr>
          <w:rFonts w:hint="eastAsia" w:ascii="华文宋体" w:hAnsi="华文宋体" w:eastAsia="华文宋体" w:cs="华文宋体"/>
          <w:color w:val="auto"/>
          <w:sz w:val="23"/>
          <w:szCs w:val="23"/>
          <w:highlight w:val="none"/>
        </w:rPr>
        <w:t>质疑供应商：</w:t>
      </w:r>
      <w:r>
        <w:rPr>
          <w:rFonts w:hint="eastAsia" w:ascii="华文宋体" w:hAnsi="华文宋体" w:eastAsia="华文宋体" w:cs="华文宋体"/>
          <w:color w:val="auto"/>
          <w:sz w:val="23"/>
          <w:szCs w:val="23"/>
          <w:highlight w:val="none"/>
          <w:u w:val="single"/>
        </w:rPr>
        <w:t xml:space="preserve">                                        </w:t>
      </w:r>
    </w:p>
    <w:p>
      <w:pPr>
        <w:snapToGrid w:val="0"/>
        <w:spacing w:line="44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地址：</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rPr>
        <w:t>邮编：</w:t>
      </w:r>
      <w:r>
        <w:rPr>
          <w:rFonts w:hint="eastAsia" w:ascii="华文宋体" w:hAnsi="华文宋体" w:eastAsia="华文宋体" w:cs="华文宋体"/>
          <w:color w:val="auto"/>
          <w:sz w:val="23"/>
          <w:szCs w:val="23"/>
          <w:highlight w:val="none"/>
          <w:u w:val="single"/>
        </w:rPr>
        <w:t xml:space="preserve">              </w:t>
      </w:r>
    </w:p>
    <w:p>
      <w:pPr>
        <w:snapToGrid w:val="0"/>
        <w:spacing w:line="44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联系人：</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rPr>
        <w:t>联系电话：</w:t>
      </w:r>
      <w:r>
        <w:rPr>
          <w:rFonts w:hint="eastAsia" w:ascii="华文宋体" w:hAnsi="华文宋体" w:eastAsia="华文宋体" w:cs="华文宋体"/>
          <w:color w:val="auto"/>
          <w:sz w:val="23"/>
          <w:szCs w:val="23"/>
          <w:highlight w:val="none"/>
          <w:u w:val="single"/>
        </w:rPr>
        <w:t xml:space="preserve">            </w:t>
      </w:r>
    </w:p>
    <w:p>
      <w:pPr>
        <w:snapToGrid w:val="0"/>
        <w:spacing w:line="440" w:lineRule="exact"/>
        <w:rPr>
          <w:rFonts w:hint="eastAsia" w:ascii="华文宋体" w:hAnsi="华文宋体" w:eastAsia="华文宋体" w:cs="华文宋体"/>
          <w:color w:val="auto"/>
          <w:sz w:val="23"/>
          <w:szCs w:val="23"/>
          <w:highlight w:val="none"/>
          <w:u w:val="dotted"/>
        </w:rPr>
      </w:pPr>
      <w:r>
        <w:rPr>
          <w:rFonts w:hint="eastAsia" w:ascii="华文宋体" w:hAnsi="华文宋体" w:eastAsia="华文宋体" w:cs="华文宋体"/>
          <w:color w:val="auto"/>
          <w:sz w:val="23"/>
          <w:szCs w:val="23"/>
          <w:highlight w:val="none"/>
        </w:rPr>
        <w:t>授权代表：</w:t>
      </w:r>
      <w:r>
        <w:rPr>
          <w:rFonts w:hint="eastAsia" w:ascii="华文宋体" w:hAnsi="华文宋体" w:eastAsia="华文宋体" w:cs="华文宋体"/>
          <w:color w:val="auto"/>
          <w:sz w:val="23"/>
          <w:szCs w:val="23"/>
          <w:highlight w:val="none"/>
          <w:u w:val="single"/>
        </w:rPr>
        <w:t xml:space="preserve">                                          </w:t>
      </w:r>
    </w:p>
    <w:p>
      <w:pPr>
        <w:snapToGrid w:val="0"/>
        <w:spacing w:line="44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联系电话：</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rPr>
        <w:t xml:space="preserve"> </w:t>
      </w:r>
    </w:p>
    <w:p>
      <w:pPr>
        <w:snapToGrid w:val="0"/>
        <w:spacing w:line="440" w:lineRule="exact"/>
        <w:rPr>
          <w:rFonts w:hint="eastAsia" w:ascii="华文宋体" w:hAnsi="华文宋体" w:eastAsia="华文宋体" w:cs="华文宋体"/>
          <w:color w:val="auto"/>
          <w:sz w:val="23"/>
          <w:szCs w:val="23"/>
          <w:highlight w:val="none"/>
          <w:u w:val="single"/>
        </w:rPr>
      </w:pPr>
      <w:r>
        <w:rPr>
          <w:rFonts w:hint="eastAsia" w:ascii="华文宋体" w:hAnsi="华文宋体" w:eastAsia="华文宋体" w:cs="华文宋体"/>
          <w:color w:val="auto"/>
          <w:sz w:val="23"/>
          <w:szCs w:val="23"/>
          <w:highlight w:val="none"/>
        </w:rPr>
        <w:t>地址：</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rPr>
        <w:t>邮编：</w:t>
      </w:r>
      <w:r>
        <w:rPr>
          <w:rFonts w:hint="eastAsia" w:ascii="华文宋体" w:hAnsi="华文宋体" w:eastAsia="华文宋体" w:cs="华文宋体"/>
          <w:color w:val="auto"/>
          <w:sz w:val="23"/>
          <w:szCs w:val="23"/>
          <w:highlight w:val="none"/>
          <w:u w:val="single"/>
        </w:rPr>
        <w:t xml:space="preserve">               </w:t>
      </w:r>
    </w:p>
    <w:p>
      <w:pPr>
        <w:snapToGrid w:val="0"/>
        <w:spacing w:line="44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bCs/>
          <w:color w:val="auto"/>
          <w:sz w:val="23"/>
          <w:szCs w:val="23"/>
          <w:highlight w:val="none"/>
        </w:rPr>
        <w:t>电子邮箱：</w:t>
      </w:r>
      <w:r>
        <w:rPr>
          <w:rFonts w:hint="eastAsia" w:ascii="华文宋体" w:hAnsi="华文宋体" w:eastAsia="华文宋体" w:cs="华文宋体"/>
          <w:bCs/>
          <w:color w:val="auto"/>
          <w:sz w:val="23"/>
          <w:szCs w:val="23"/>
          <w:highlight w:val="none"/>
          <w:u w:val="single"/>
        </w:rPr>
        <w:t xml:space="preserve">                        </w:t>
      </w:r>
    </w:p>
    <w:p>
      <w:pPr>
        <w:snapToGrid w:val="0"/>
        <w:spacing w:line="440" w:lineRule="exact"/>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二、质疑项目基本情况</w:t>
      </w:r>
    </w:p>
    <w:p>
      <w:pPr>
        <w:snapToGrid w:val="0"/>
        <w:spacing w:line="44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质疑项目的名称：</w:t>
      </w:r>
      <w:r>
        <w:rPr>
          <w:rFonts w:hint="eastAsia" w:ascii="华文宋体" w:hAnsi="华文宋体" w:eastAsia="华文宋体" w:cs="华文宋体"/>
          <w:color w:val="auto"/>
          <w:sz w:val="23"/>
          <w:szCs w:val="23"/>
          <w:highlight w:val="none"/>
          <w:u w:val="single"/>
        </w:rPr>
        <w:t xml:space="preserve">                                    </w:t>
      </w:r>
    </w:p>
    <w:p>
      <w:pPr>
        <w:snapToGrid w:val="0"/>
        <w:spacing w:line="44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质疑项目的编号：</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rPr>
        <w:t>包号：</w:t>
      </w:r>
      <w:r>
        <w:rPr>
          <w:rFonts w:hint="eastAsia" w:ascii="华文宋体" w:hAnsi="华文宋体" w:eastAsia="华文宋体" w:cs="华文宋体"/>
          <w:color w:val="auto"/>
          <w:sz w:val="23"/>
          <w:szCs w:val="23"/>
          <w:highlight w:val="none"/>
          <w:u w:val="single"/>
        </w:rPr>
        <w:t xml:space="preserve">               </w:t>
      </w:r>
    </w:p>
    <w:p>
      <w:pPr>
        <w:snapToGrid w:val="0"/>
        <w:spacing w:line="440" w:lineRule="exact"/>
        <w:rPr>
          <w:rFonts w:hint="eastAsia" w:ascii="华文宋体" w:hAnsi="华文宋体" w:eastAsia="华文宋体" w:cs="华文宋体"/>
          <w:color w:val="auto"/>
          <w:sz w:val="23"/>
          <w:szCs w:val="23"/>
          <w:highlight w:val="none"/>
          <w:u w:val="single"/>
        </w:rPr>
      </w:pPr>
      <w:r>
        <w:rPr>
          <w:rFonts w:hint="eastAsia" w:ascii="华文宋体" w:hAnsi="华文宋体" w:eastAsia="华文宋体" w:cs="华文宋体"/>
          <w:color w:val="auto"/>
          <w:sz w:val="23"/>
          <w:szCs w:val="23"/>
          <w:highlight w:val="none"/>
        </w:rPr>
        <w:t>采购人名称：</w:t>
      </w:r>
      <w:r>
        <w:rPr>
          <w:rFonts w:hint="eastAsia" w:ascii="华文宋体" w:hAnsi="华文宋体" w:eastAsia="华文宋体" w:cs="华文宋体"/>
          <w:color w:val="auto"/>
          <w:sz w:val="23"/>
          <w:szCs w:val="23"/>
          <w:highlight w:val="none"/>
          <w:u w:val="single"/>
        </w:rPr>
        <w:t xml:space="preserve">                                        </w:t>
      </w:r>
    </w:p>
    <w:p>
      <w:pPr>
        <w:snapToGrid w:val="0"/>
        <w:spacing w:line="440" w:lineRule="exact"/>
        <w:rPr>
          <w:rFonts w:hint="eastAsia" w:ascii="华文宋体" w:hAnsi="华文宋体" w:eastAsia="华文宋体" w:cs="华文宋体"/>
          <w:color w:val="auto"/>
          <w:sz w:val="23"/>
          <w:szCs w:val="23"/>
          <w:highlight w:val="none"/>
          <w:u w:val="single"/>
        </w:rPr>
      </w:pPr>
      <w:r>
        <w:rPr>
          <w:rFonts w:hint="eastAsia" w:ascii="华文宋体" w:hAnsi="华文宋体" w:eastAsia="华文宋体" w:cs="华文宋体"/>
          <w:color w:val="auto"/>
          <w:sz w:val="23"/>
          <w:szCs w:val="23"/>
          <w:highlight w:val="none"/>
        </w:rPr>
        <w:t>采购文件获取日期：</w:t>
      </w:r>
      <w:r>
        <w:rPr>
          <w:rFonts w:hint="eastAsia" w:ascii="华文宋体" w:hAnsi="华文宋体" w:eastAsia="华文宋体" w:cs="华文宋体"/>
          <w:color w:val="auto"/>
          <w:sz w:val="23"/>
          <w:szCs w:val="23"/>
          <w:highlight w:val="none"/>
          <w:u w:val="single"/>
        </w:rPr>
        <w:t xml:space="preserve">                                  </w:t>
      </w:r>
    </w:p>
    <w:p>
      <w:pPr>
        <w:snapToGrid w:val="0"/>
        <w:spacing w:line="440" w:lineRule="exact"/>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三、质疑事项具体内容</w:t>
      </w:r>
    </w:p>
    <w:p>
      <w:pPr>
        <w:snapToGrid w:val="0"/>
        <w:spacing w:line="440" w:lineRule="exact"/>
        <w:rPr>
          <w:rFonts w:hint="eastAsia" w:ascii="华文宋体" w:hAnsi="华文宋体" w:eastAsia="华文宋体" w:cs="华文宋体"/>
          <w:color w:val="auto"/>
          <w:sz w:val="23"/>
          <w:szCs w:val="23"/>
          <w:highlight w:val="none"/>
          <w:u w:val="single"/>
        </w:rPr>
      </w:pPr>
      <w:r>
        <w:rPr>
          <w:rFonts w:hint="eastAsia" w:ascii="华文宋体" w:hAnsi="华文宋体" w:eastAsia="华文宋体" w:cs="华文宋体"/>
          <w:color w:val="auto"/>
          <w:sz w:val="23"/>
          <w:szCs w:val="23"/>
          <w:highlight w:val="none"/>
        </w:rPr>
        <w:t>质疑事项1：</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p>
    <w:p>
      <w:pPr>
        <w:snapToGrid w:val="0"/>
        <w:spacing w:line="440" w:lineRule="exact"/>
        <w:rPr>
          <w:rFonts w:hint="eastAsia" w:ascii="华文宋体" w:hAnsi="华文宋体" w:eastAsia="华文宋体" w:cs="华文宋体"/>
          <w:color w:val="auto"/>
          <w:sz w:val="23"/>
          <w:szCs w:val="23"/>
          <w:highlight w:val="none"/>
          <w:u w:val="single"/>
        </w:rPr>
      </w:pPr>
      <w:r>
        <w:rPr>
          <w:rFonts w:hint="eastAsia" w:ascii="华文宋体" w:hAnsi="华文宋体" w:eastAsia="华文宋体" w:cs="华文宋体"/>
          <w:color w:val="auto"/>
          <w:sz w:val="23"/>
          <w:szCs w:val="23"/>
          <w:highlight w:val="none"/>
        </w:rPr>
        <w:t>事实依据：</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p>
    <w:p>
      <w:pPr>
        <w:snapToGrid w:val="0"/>
        <w:spacing w:line="440" w:lineRule="exact"/>
        <w:rPr>
          <w:rFonts w:hint="eastAsia" w:ascii="华文宋体" w:hAnsi="华文宋体" w:eastAsia="华文宋体" w:cs="华文宋体"/>
          <w:color w:val="auto"/>
          <w:sz w:val="23"/>
          <w:szCs w:val="23"/>
          <w:highlight w:val="none"/>
          <w:u w:val="single"/>
        </w:rPr>
      </w:pP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p>
    <w:p>
      <w:pPr>
        <w:snapToGrid w:val="0"/>
        <w:spacing w:line="440" w:lineRule="exact"/>
        <w:rPr>
          <w:rFonts w:hint="eastAsia" w:ascii="华文宋体" w:hAnsi="华文宋体" w:eastAsia="华文宋体" w:cs="华文宋体"/>
          <w:color w:val="auto"/>
          <w:sz w:val="23"/>
          <w:szCs w:val="23"/>
          <w:highlight w:val="none"/>
          <w:u w:val="single"/>
        </w:rPr>
      </w:pPr>
      <w:r>
        <w:rPr>
          <w:rFonts w:hint="eastAsia" w:ascii="华文宋体" w:hAnsi="华文宋体" w:eastAsia="华文宋体" w:cs="华文宋体"/>
          <w:color w:val="auto"/>
          <w:sz w:val="23"/>
          <w:szCs w:val="23"/>
          <w:highlight w:val="none"/>
        </w:rPr>
        <w:t>法律依据：</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p>
    <w:p>
      <w:pPr>
        <w:snapToGrid w:val="0"/>
        <w:spacing w:line="440" w:lineRule="exact"/>
        <w:rPr>
          <w:rFonts w:hint="eastAsia" w:ascii="华文宋体" w:hAnsi="华文宋体" w:eastAsia="华文宋体" w:cs="华文宋体"/>
          <w:color w:val="auto"/>
          <w:sz w:val="23"/>
          <w:szCs w:val="23"/>
          <w:highlight w:val="none"/>
          <w:u w:val="single"/>
        </w:rPr>
      </w:pP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p>
    <w:p>
      <w:pPr>
        <w:snapToGrid w:val="0"/>
        <w:spacing w:line="440" w:lineRule="exact"/>
        <w:rPr>
          <w:rFonts w:hint="eastAsia" w:ascii="华文宋体" w:hAnsi="华文宋体" w:eastAsia="华文宋体" w:cs="华文宋体"/>
          <w:color w:val="auto"/>
          <w:sz w:val="23"/>
          <w:szCs w:val="23"/>
          <w:highlight w:val="none"/>
          <w:u w:val="dotted"/>
        </w:rPr>
      </w:pPr>
      <w:r>
        <w:rPr>
          <w:rFonts w:hint="eastAsia" w:ascii="华文宋体" w:hAnsi="华文宋体" w:eastAsia="华文宋体" w:cs="华文宋体"/>
          <w:color w:val="auto"/>
          <w:sz w:val="23"/>
          <w:szCs w:val="23"/>
          <w:highlight w:val="none"/>
        </w:rPr>
        <w:t>质疑事项2</w:t>
      </w:r>
    </w:p>
    <w:p>
      <w:pPr>
        <w:snapToGrid w:val="0"/>
        <w:spacing w:line="44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w:t>
      </w:r>
    </w:p>
    <w:p>
      <w:pPr>
        <w:snapToGrid w:val="0"/>
        <w:spacing w:line="440" w:lineRule="exact"/>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四、与质疑事项相关的质疑请求</w:t>
      </w:r>
    </w:p>
    <w:p>
      <w:pPr>
        <w:snapToGrid w:val="0"/>
        <w:spacing w:line="440" w:lineRule="exact"/>
        <w:rPr>
          <w:rFonts w:hint="eastAsia" w:ascii="华文宋体" w:hAnsi="华文宋体" w:eastAsia="华文宋体" w:cs="华文宋体"/>
          <w:color w:val="auto"/>
          <w:sz w:val="23"/>
          <w:szCs w:val="23"/>
          <w:highlight w:val="none"/>
          <w:u w:val="dotted"/>
        </w:rPr>
      </w:pPr>
      <w:r>
        <w:rPr>
          <w:rFonts w:hint="eastAsia" w:ascii="华文宋体" w:hAnsi="华文宋体" w:eastAsia="华文宋体" w:cs="华文宋体"/>
          <w:color w:val="auto"/>
          <w:sz w:val="23"/>
          <w:szCs w:val="23"/>
          <w:highlight w:val="none"/>
        </w:rPr>
        <w:t>请求：</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r>
        <w:rPr>
          <w:rFonts w:hint="eastAsia" w:ascii="华文宋体" w:hAnsi="华文宋体" w:eastAsia="华文宋体" w:cs="华文宋体"/>
          <w:color w:val="auto"/>
          <w:sz w:val="23"/>
          <w:szCs w:val="23"/>
          <w:highlight w:val="none"/>
          <w:u w:val="single"/>
        </w:rPr>
        <w:tab/>
      </w:r>
    </w:p>
    <w:p>
      <w:pPr>
        <w:snapToGrid w:val="0"/>
        <w:spacing w:line="440" w:lineRule="exact"/>
        <w:rPr>
          <w:rFonts w:hint="eastAsia" w:ascii="华文宋体" w:hAnsi="华文宋体" w:eastAsia="华文宋体" w:cs="华文宋体"/>
          <w:color w:val="auto"/>
          <w:sz w:val="23"/>
          <w:szCs w:val="23"/>
          <w:highlight w:val="none"/>
        </w:rPr>
      </w:pPr>
    </w:p>
    <w:p>
      <w:pPr>
        <w:widowControl/>
        <w:tabs>
          <w:tab w:val="left" w:pos="6300"/>
        </w:tabs>
        <w:snapToGrid w:val="0"/>
        <w:spacing w:line="44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供应商（盖章）：</w:t>
      </w:r>
    </w:p>
    <w:p>
      <w:pPr>
        <w:widowControl/>
        <w:tabs>
          <w:tab w:val="left" w:pos="6300"/>
        </w:tabs>
        <w:snapToGrid w:val="0"/>
        <w:spacing w:line="44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法定代表人（授权代表）：</w:t>
      </w:r>
    </w:p>
    <w:p>
      <w:pPr>
        <w:tabs>
          <w:tab w:val="left" w:pos="6300"/>
        </w:tabs>
        <w:snapToGrid w:val="0"/>
        <w:spacing w:line="44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地址/邮编：</w:t>
      </w:r>
    </w:p>
    <w:p>
      <w:pPr>
        <w:tabs>
          <w:tab w:val="left" w:pos="6300"/>
        </w:tabs>
        <w:snapToGrid w:val="0"/>
        <w:spacing w:line="44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电话/传真：</w:t>
      </w:r>
    </w:p>
    <w:p>
      <w:pPr>
        <w:spacing w:line="44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日期：  年   月  日</w:t>
      </w:r>
    </w:p>
    <w:p>
      <w:pPr>
        <w:rPr>
          <w:rFonts w:hint="eastAsia" w:ascii="华文宋体" w:hAnsi="华文宋体" w:eastAsia="华文宋体" w:cs="华文宋体"/>
          <w:color w:val="auto"/>
          <w:highlight w:val="none"/>
        </w:rPr>
      </w:pPr>
    </w:p>
    <w:p>
      <w:pPr>
        <w:snapToGrid w:val="0"/>
        <w:spacing w:line="360" w:lineRule="auto"/>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随附相关证明材料如下：</w:t>
      </w:r>
    </w:p>
    <w:tbl>
      <w:tblPr>
        <w:tblStyle w:val="30"/>
        <w:tblW w:w="0" w:type="auto"/>
        <w:tblInd w:w="1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06"/>
        <w:gridCol w:w="3777"/>
        <w:gridCol w:w="2247"/>
        <w:gridCol w:w="21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806"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center"/>
          </w:tcPr>
          <w:p>
            <w:pPr>
              <w:snapToGrid w:val="0"/>
              <w:spacing w:line="380" w:lineRule="exact"/>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序号</w:t>
            </w:r>
          </w:p>
        </w:tc>
        <w:tc>
          <w:tcPr>
            <w:tcW w:w="3777"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center"/>
          </w:tcPr>
          <w:p>
            <w:pPr>
              <w:snapToGrid w:val="0"/>
              <w:spacing w:line="380" w:lineRule="exact"/>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证明材料名称</w:t>
            </w:r>
          </w:p>
        </w:tc>
        <w:tc>
          <w:tcPr>
            <w:tcW w:w="2247"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center"/>
          </w:tcPr>
          <w:p>
            <w:pPr>
              <w:snapToGrid w:val="0"/>
              <w:spacing w:line="380" w:lineRule="exact"/>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证明材料来源</w:t>
            </w:r>
          </w:p>
        </w:tc>
        <w:tc>
          <w:tcPr>
            <w:tcW w:w="2114"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center"/>
          </w:tcPr>
          <w:p>
            <w:pPr>
              <w:snapToGrid w:val="0"/>
              <w:spacing w:line="380" w:lineRule="exact"/>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证明对象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806"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top"/>
          </w:tcPr>
          <w:p>
            <w:pPr>
              <w:snapToGrid w:val="0"/>
              <w:spacing w:line="38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w:t>
            </w:r>
          </w:p>
        </w:tc>
        <w:tc>
          <w:tcPr>
            <w:tcW w:w="3777"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top"/>
          </w:tcPr>
          <w:p>
            <w:pPr>
              <w:snapToGrid w:val="0"/>
              <w:spacing w:line="380" w:lineRule="exact"/>
              <w:rPr>
                <w:rFonts w:hint="eastAsia" w:ascii="华文宋体" w:hAnsi="华文宋体" w:eastAsia="华文宋体" w:cs="华文宋体"/>
                <w:color w:val="auto"/>
                <w:sz w:val="23"/>
                <w:szCs w:val="23"/>
                <w:highlight w:val="none"/>
              </w:rPr>
            </w:pPr>
          </w:p>
        </w:tc>
        <w:tc>
          <w:tcPr>
            <w:tcW w:w="2247"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top"/>
          </w:tcPr>
          <w:p>
            <w:pPr>
              <w:snapToGrid w:val="0"/>
              <w:spacing w:line="380" w:lineRule="exact"/>
              <w:rPr>
                <w:rFonts w:hint="eastAsia" w:ascii="华文宋体" w:hAnsi="华文宋体" w:eastAsia="华文宋体" w:cs="华文宋体"/>
                <w:color w:val="auto"/>
                <w:sz w:val="23"/>
                <w:szCs w:val="23"/>
                <w:highlight w:val="none"/>
              </w:rPr>
            </w:pPr>
          </w:p>
        </w:tc>
        <w:tc>
          <w:tcPr>
            <w:tcW w:w="2114"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top"/>
          </w:tcPr>
          <w:p>
            <w:pPr>
              <w:snapToGrid w:val="0"/>
              <w:spacing w:line="380" w:lineRule="exact"/>
              <w:rPr>
                <w:rFonts w:hint="eastAsia" w:ascii="华文宋体" w:hAnsi="华文宋体" w:eastAsia="华文宋体" w:cs="华文宋体"/>
                <w:color w:val="auto"/>
                <w:sz w:val="23"/>
                <w:szCs w:val="23"/>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806"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top"/>
          </w:tcPr>
          <w:p>
            <w:pPr>
              <w:snapToGrid w:val="0"/>
              <w:spacing w:line="38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2</w:t>
            </w:r>
          </w:p>
        </w:tc>
        <w:tc>
          <w:tcPr>
            <w:tcW w:w="3777"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top"/>
          </w:tcPr>
          <w:p>
            <w:pPr>
              <w:snapToGrid w:val="0"/>
              <w:spacing w:line="380" w:lineRule="exact"/>
              <w:rPr>
                <w:rFonts w:hint="eastAsia" w:ascii="华文宋体" w:hAnsi="华文宋体" w:eastAsia="华文宋体" w:cs="华文宋体"/>
                <w:color w:val="auto"/>
                <w:sz w:val="23"/>
                <w:szCs w:val="23"/>
                <w:highlight w:val="none"/>
              </w:rPr>
            </w:pPr>
          </w:p>
        </w:tc>
        <w:tc>
          <w:tcPr>
            <w:tcW w:w="2247"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top"/>
          </w:tcPr>
          <w:p>
            <w:pPr>
              <w:snapToGrid w:val="0"/>
              <w:spacing w:line="380" w:lineRule="exact"/>
              <w:rPr>
                <w:rFonts w:hint="eastAsia" w:ascii="华文宋体" w:hAnsi="华文宋体" w:eastAsia="华文宋体" w:cs="华文宋体"/>
                <w:color w:val="auto"/>
                <w:sz w:val="23"/>
                <w:szCs w:val="23"/>
                <w:highlight w:val="none"/>
              </w:rPr>
            </w:pPr>
          </w:p>
        </w:tc>
        <w:tc>
          <w:tcPr>
            <w:tcW w:w="2114"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top"/>
          </w:tcPr>
          <w:p>
            <w:pPr>
              <w:snapToGrid w:val="0"/>
              <w:spacing w:line="380" w:lineRule="exact"/>
              <w:rPr>
                <w:rFonts w:hint="eastAsia" w:ascii="华文宋体" w:hAnsi="华文宋体" w:eastAsia="华文宋体" w:cs="华文宋体"/>
                <w:color w:val="auto"/>
                <w:sz w:val="23"/>
                <w:szCs w:val="23"/>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806"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top"/>
          </w:tcPr>
          <w:p>
            <w:pPr>
              <w:snapToGrid w:val="0"/>
              <w:spacing w:line="38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w:t>
            </w:r>
          </w:p>
        </w:tc>
        <w:tc>
          <w:tcPr>
            <w:tcW w:w="3777"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top"/>
          </w:tcPr>
          <w:p>
            <w:pPr>
              <w:snapToGrid w:val="0"/>
              <w:spacing w:line="380" w:lineRule="exact"/>
              <w:rPr>
                <w:rFonts w:hint="eastAsia" w:ascii="华文宋体" w:hAnsi="华文宋体" w:eastAsia="华文宋体" w:cs="华文宋体"/>
                <w:color w:val="auto"/>
                <w:sz w:val="23"/>
                <w:szCs w:val="23"/>
                <w:highlight w:val="none"/>
              </w:rPr>
            </w:pPr>
          </w:p>
        </w:tc>
        <w:tc>
          <w:tcPr>
            <w:tcW w:w="2247"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top"/>
          </w:tcPr>
          <w:p>
            <w:pPr>
              <w:snapToGrid w:val="0"/>
              <w:spacing w:line="380" w:lineRule="exact"/>
              <w:rPr>
                <w:rFonts w:hint="eastAsia" w:ascii="华文宋体" w:hAnsi="华文宋体" w:eastAsia="华文宋体" w:cs="华文宋体"/>
                <w:color w:val="auto"/>
                <w:sz w:val="23"/>
                <w:szCs w:val="23"/>
                <w:highlight w:val="none"/>
              </w:rPr>
            </w:pPr>
          </w:p>
        </w:tc>
        <w:tc>
          <w:tcPr>
            <w:tcW w:w="2114" w:type="dxa"/>
            <w:tcBorders>
              <w:top w:val="single" w:color="000000" w:sz="4" w:space="0"/>
              <w:left w:val="single" w:color="000000" w:sz="4" w:space="0"/>
              <w:bottom w:val="single" w:color="000000" w:sz="4" w:space="0"/>
              <w:right w:val="single" w:color="000000" w:sz="4" w:space="0"/>
            </w:tcBorders>
            <w:noWrap w:val="0"/>
            <w:tcMar>
              <w:top w:w="72" w:type="dxa"/>
              <w:left w:w="144" w:type="dxa"/>
              <w:bottom w:w="72" w:type="dxa"/>
              <w:right w:w="144" w:type="dxa"/>
            </w:tcMar>
            <w:vAlign w:val="top"/>
          </w:tcPr>
          <w:p>
            <w:pPr>
              <w:snapToGrid w:val="0"/>
              <w:spacing w:line="380" w:lineRule="exact"/>
              <w:rPr>
                <w:rFonts w:hint="eastAsia" w:ascii="华文宋体" w:hAnsi="华文宋体" w:eastAsia="华文宋体" w:cs="华文宋体"/>
                <w:color w:val="auto"/>
                <w:sz w:val="23"/>
                <w:szCs w:val="23"/>
                <w:highlight w:val="none"/>
              </w:rPr>
            </w:pPr>
          </w:p>
        </w:tc>
      </w:tr>
    </w:tbl>
    <w:p>
      <w:pPr>
        <w:pStyle w:val="51"/>
        <w:widowControl/>
        <w:numPr>
          <w:ilvl w:val="0"/>
          <w:numId w:val="120"/>
        </w:numPr>
        <w:spacing w:before="120" w:beforeLines="50" w:line="360" w:lineRule="auto"/>
        <w:ind w:left="255" w:hanging="255" w:firstLineChars="0"/>
        <w:jc w:val="left"/>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相关说明</w:t>
      </w:r>
    </w:p>
    <w:p>
      <w:pPr>
        <w:pStyle w:val="51"/>
        <w:widowControl/>
        <w:numPr>
          <w:ilvl w:val="0"/>
          <w:numId w:val="121"/>
        </w:numPr>
        <w:spacing w:line="360" w:lineRule="auto"/>
        <w:ind w:left="255" w:hanging="255" w:firstLineChars="0"/>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供应商提出质疑时，应提交质疑函和必要的证明材料。</w:t>
      </w:r>
    </w:p>
    <w:p>
      <w:pPr>
        <w:pStyle w:val="51"/>
        <w:widowControl/>
        <w:numPr>
          <w:ilvl w:val="0"/>
          <w:numId w:val="121"/>
        </w:numPr>
        <w:spacing w:line="360" w:lineRule="auto"/>
        <w:ind w:left="255" w:hanging="255" w:firstLineChars="0"/>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51"/>
        <w:widowControl/>
        <w:numPr>
          <w:ilvl w:val="0"/>
          <w:numId w:val="121"/>
        </w:numPr>
        <w:spacing w:line="360" w:lineRule="auto"/>
        <w:ind w:left="255" w:hanging="255" w:firstLineChars="0"/>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质疑供应商若对项目的某一分包进行质疑，质疑函中</w:t>
      </w:r>
      <w:r>
        <w:rPr>
          <w:rFonts w:hint="eastAsia" w:ascii="华文宋体" w:hAnsi="华文宋体" w:eastAsia="华文宋体" w:cs="华文宋体"/>
          <w:b/>
          <w:color w:val="auto"/>
          <w:sz w:val="23"/>
          <w:szCs w:val="23"/>
          <w:highlight w:val="none"/>
          <w:u w:val="single"/>
        </w:rPr>
        <w:t>应列明具体分包号</w:t>
      </w:r>
      <w:r>
        <w:rPr>
          <w:rFonts w:hint="eastAsia" w:ascii="华文宋体" w:hAnsi="华文宋体" w:eastAsia="华文宋体" w:cs="华文宋体"/>
          <w:color w:val="auto"/>
          <w:sz w:val="23"/>
          <w:szCs w:val="23"/>
          <w:highlight w:val="none"/>
        </w:rPr>
        <w:t>。</w:t>
      </w:r>
    </w:p>
    <w:p>
      <w:pPr>
        <w:pStyle w:val="51"/>
        <w:widowControl/>
        <w:numPr>
          <w:ilvl w:val="0"/>
          <w:numId w:val="121"/>
        </w:numPr>
        <w:spacing w:line="360" w:lineRule="auto"/>
        <w:ind w:left="255" w:hanging="255" w:firstLineChars="0"/>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质疑函的质疑事项应具体、明确，并有必要的事实依据和法律依据。</w:t>
      </w:r>
    </w:p>
    <w:p>
      <w:pPr>
        <w:pStyle w:val="51"/>
        <w:widowControl/>
        <w:numPr>
          <w:ilvl w:val="0"/>
          <w:numId w:val="121"/>
        </w:numPr>
        <w:spacing w:line="360" w:lineRule="auto"/>
        <w:ind w:left="255" w:hanging="255" w:firstLineChars="0"/>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质疑函的质疑请求应与质疑事项相关。</w:t>
      </w:r>
    </w:p>
    <w:p>
      <w:pPr>
        <w:pStyle w:val="51"/>
        <w:numPr>
          <w:ilvl w:val="0"/>
          <w:numId w:val="121"/>
        </w:numPr>
        <w:spacing w:line="360" w:lineRule="auto"/>
        <w:ind w:left="255" w:hanging="255" w:firstLineChars="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质疑供应商为自然人的，质疑函应由本人签字；质疑供应商为法人或者其他组织的，质疑函应由法定代表人、主要负责人，或者其授权代表签字或者盖个人名章，并加盖公章。</w:t>
      </w:r>
    </w:p>
    <w:p>
      <w:pPr>
        <w:pStyle w:val="51"/>
        <w:numPr>
          <w:ilvl w:val="0"/>
          <w:numId w:val="121"/>
        </w:numPr>
        <w:spacing w:line="360" w:lineRule="auto"/>
        <w:ind w:left="255" w:hanging="255" w:firstLineChars="0"/>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供应商应在提交的证明材料中对质疑点的内容</w:t>
      </w:r>
      <w:r>
        <w:rPr>
          <w:rFonts w:hint="eastAsia" w:ascii="华文宋体" w:hAnsi="华文宋体" w:eastAsia="华文宋体" w:cs="华文宋体"/>
          <w:b/>
          <w:color w:val="auto"/>
          <w:sz w:val="23"/>
          <w:szCs w:val="23"/>
          <w:highlight w:val="none"/>
          <w:u w:val="single"/>
        </w:rPr>
        <w:t>作出相应的标识或以醒目的方式标明</w:t>
      </w:r>
      <w:r>
        <w:rPr>
          <w:rFonts w:hint="eastAsia" w:ascii="华文宋体" w:hAnsi="华文宋体" w:eastAsia="华文宋体" w:cs="华文宋体"/>
          <w:color w:val="auto"/>
          <w:sz w:val="23"/>
          <w:szCs w:val="23"/>
          <w:highlight w:val="none"/>
        </w:rPr>
        <w:t>。</w:t>
      </w:r>
    </w:p>
    <w:p>
      <w:pPr>
        <w:pStyle w:val="47"/>
        <w:rPr>
          <w:rFonts w:hint="eastAsia" w:ascii="华文宋体" w:hAnsi="华文宋体" w:eastAsia="华文宋体" w:cs="华文宋体"/>
          <w:color w:val="auto"/>
          <w:sz w:val="23"/>
          <w:szCs w:val="23"/>
          <w:highlight w:val="none"/>
        </w:rPr>
      </w:pPr>
    </w:p>
    <w:p>
      <w:pPr>
        <w:pStyle w:val="47"/>
        <w:rPr>
          <w:rFonts w:hint="eastAsia" w:ascii="华文宋体" w:hAnsi="华文宋体" w:eastAsia="华文宋体" w:cs="华文宋体"/>
          <w:color w:val="auto"/>
          <w:sz w:val="24"/>
          <w:szCs w:val="24"/>
          <w:highlight w:val="none"/>
        </w:rPr>
      </w:pPr>
    </w:p>
    <w:p>
      <w:pPr>
        <w:pStyle w:val="47"/>
        <w:rPr>
          <w:rFonts w:hint="eastAsia" w:ascii="华文宋体" w:hAnsi="华文宋体" w:eastAsia="华文宋体" w:cs="华文宋体"/>
          <w:color w:val="auto"/>
          <w:sz w:val="24"/>
          <w:szCs w:val="24"/>
          <w:highlight w:val="none"/>
        </w:rPr>
      </w:pPr>
    </w:p>
    <w:p>
      <w:pPr>
        <w:pStyle w:val="47"/>
        <w:rPr>
          <w:rFonts w:hint="eastAsia" w:ascii="华文宋体" w:hAnsi="华文宋体" w:eastAsia="华文宋体" w:cs="华文宋体"/>
          <w:color w:val="auto"/>
          <w:sz w:val="24"/>
          <w:szCs w:val="24"/>
          <w:highlight w:val="none"/>
        </w:rPr>
      </w:pPr>
    </w:p>
    <w:p>
      <w:pPr>
        <w:pStyle w:val="47"/>
        <w:rPr>
          <w:rFonts w:hint="eastAsia" w:ascii="华文宋体" w:hAnsi="华文宋体" w:eastAsia="华文宋体" w:cs="华文宋体"/>
          <w:color w:val="auto"/>
          <w:sz w:val="24"/>
          <w:szCs w:val="24"/>
          <w:highlight w:val="none"/>
        </w:rPr>
      </w:pPr>
    </w:p>
    <w:p>
      <w:pPr>
        <w:pStyle w:val="47"/>
        <w:rPr>
          <w:rFonts w:hint="eastAsia" w:ascii="华文宋体" w:hAnsi="华文宋体" w:eastAsia="华文宋体" w:cs="华文宋体"/>
          <w:color w:val="auto"/>
          <w:highlight w:val="none"/>
        </w:rPr>
      </w:pPr>
      <w:r>
        <w:rPr>
          <w:rFonts w:hint="eastAsia" w:ascii="华文宋体" w:hAnsi="华文宋体" w:eastAsia="华文宋体" w:cs="华文宋体"/>
          <w:color w:val="auto"/>
          <w:sz w:val="24"/>
          <w:szCs w:val="24"/>
          <w:highlight w:val="none"/>
        </w:rPr>
        <w:br w:type="page"/>
      </w:r>
      <w:bookmarkStart w:id="91" w:name="_Toc19365"/>
      <w:bookmarkStart w:id="92" w:name="_Toc10753"/>
      <w:bookmarkStart w:id="93" w:name="_Toc1369"/>
      <w:bookmarkStart w:id="94" w:name="_Toc12558"/>
      <w:bookmarkStart w:id="95" w:name="_Toc8393"/>
      <w:bookmarkStart w:id="96" w:name="_Toc15730"/>
      <w:bookmarkStart w:id="97" w:name="_Toc525322208"/>
      <w:bookmarkStart w:id="98" w:name="_Toc32047_WPSOffice_Level2"/>
      <w:bookmarkStart w:id="99" w:name="_Toc14363"/>
      <w:bookmarkStart w:id="100" w:name="_Toc16872"/>
    </w:p>
    <w:p>
      <w:pPr>
        <w:pStyle w:val="4"/>
        <w:spacing w:before="0" w:line="240" w:lineRule="atLeast"/>
        <w:jc w:val="center"/>
        <w:rPr>
          <w:rFonts w:hint="eastAsia" w:ascii="华文宋体" w:hAnsi="华文宋体" w:eastAsia="华文宋体" w:cs="华文宋体"/>
          <w:color w:val="auto"/>
          <w:sz w:val="40"/>
          <w:szCs w:val="40"/>
          <w:highlight w:val="none"/>
        </w:rPr>
      </w:pPr>
      <w:r>
        <w:rPr>
          <w:rFonts w:hint="eastAsia" w:ascii="华文宋体" w:hAnsi="华文宋体" w:eastAsia="华文宋体" w:cs="华文宋体"/>
          <w:color w:val="auto"/>
          <w:sz w:val="40"/>
          <w:szCs w:val="40"/>
          <w:highlight w:val="none"/>
        </w:rPr>
        <w:t>第四章 评审办法及标准</w:t>
      </w:r>
      <w:bookmarkEnd w:id="91"/>
      <w:bookmarkEnd w:id="92"/>
      <w:bookmarkEnd w:id="93"/>
      <w:bookmarkEnd w:id="94"/>
      <w:bookmarkEnd w:id="95"/>
      <w:bookmarkEnd w:id="96"/>
      <w:bookmarkEnd w:id="97"/>
      <w:bookmarkEnd w:id="98"/>
      <w:bookmarkEnd w:id="99"/>
      <w:bookmarkEnd w:id="100"/>
    </w:p>
    <w:p>
      <w:pPr>
        <w:numPr>
          <w:ilvl w:val="0"/>
          <w:numId w:val="122"/>
        </w:numPr>
        <w:spacing w:line="440" w:lineRule="exact"/>
        <w:ind w:firstLine="0"/>
        <w:outlineLvl w:val="1"/>
        <w:rPr>
          <w:rFonts w:hint="eastAsia" w:ascii="华文宋体" w:hAnsi="华文宋体" w:eastAsia="华文宋体" w:cs="华文宋体"/>
          <w:b/>
          <w:color w:val="auto"/>
          <w:sz w:val="24"/>
          <w:szCs w:val="24"/>
          <w:highlight w:val="none"/>
        </w:rPr>
      </w:pPr>
      <w:r>
        <w:rPr>
          <w:rFonts w:hint="eastAsia" w:ascii="华文宋体" w:hAnsi="华文宋体" w:eastAsia="华文宋体" w:cs="华文宋体"/>
          <w:b/>
          <w:color w:val="auto"/>
          <w:sz w:val="24"/>
          <w:szCs w:val="24"/>
          <w:highlight w:val="none"/>
        </w:rPr>
        <w:t>磋商小组</w:t>
      </w:r>
    </w:p>
    <w:p>
      <w:pPr>
        <w:numPr>
          <w:ilvl w:val="0"/>
          <w:numId w:val="123"/>
        </w:numPr>
        <w:spacing w:line="440" w:lineRule="exact"/>
        <w:ind w:left="420" w:hanging="420" w:hangingChars="175"/>
        <w:outlineLvl w:val="2"/>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本次采购依法组建磋商小组。磋商小组全部由采购人代表和从专家库随机抽取的专家组成。磋商小组将本着公平、公正、科学、择优的原则，严格按照法律法规和竞争性磋商文件设定的程序和规则推荐评审结果，任何单位和个人不得非法干预或者影响评审过程和结果。</w:t>
      </w:r>
    </w:p>
    <w:p>
      <w:pPr>
        <w:numPr>
          <w:ilvl w:val="0"/>
          <w:numId w:val="123"/>
        </w:numPr>
        <w:spacing w:line="440" w:lineRule="exact"/>
        <w:ind w:left="420" w:hanging="420" w:hangingChars="175"/>
        <w:outlineLvl w:val="2"/>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磋商小组成员发现本人与参加采购活动的供应商有利害关系之一的，应当主动提出回避。采购人或者采购代理机构发现磋商小组成员与参加采购活动的供应商利害关系之一的，应当要求其回避：</w:t>
      </w:r>
    </w:p>
    <w:p>
      <w:pPr>
        <w:numPr>
          <w:ilvl w:val="0"/>
          <w:numId w:val="124"/>
        </w:numPr>
        <w:spacing w:line="440" w:lineRule="exact"/>
        <w:ind w:left="420" w:hanging="420" w:hangingChars="175"/>
        <w:outlineLvl w:val="4"/>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参加采购活动前三年内，与供应商存在劳动关系，或者担任过供应商的董事、监事，或者是供应商的控股股东或实际控制人；</w:t>
      </w:r>
    </w:p>
    <w:p>
      <w:pPr>
        <w:numPr>
          <w:ilvl w:val="0"/>
          <w:numId w:val="124"/>
        </w:numPr>
        <w:spacing w:line="440" w:lineRule="exact"/>
        <w:ind w:left="420" w:hanging="420" w:hangingChars="175"/>
        <w:outlineLvl w:val="4"/>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与供应商的法定代表人或者负责人有夫妻、直系血亲、三代以内旁系血亲或者近姻亲关系；</w:t>
      </w:r>
    </w:p>
    <w:p>
      <w:pPr>
        <w:numPr>
          <w:ilvl w:val="0"/>
          <w:numId w:val="124"/>
        </w:numPr>
        <w:spacing w:line="440" w:lineRule="exact"/>
        <w:ind w:left="420" w:hanging="420" w:hangingChars="175"/>
        <w:outlineLvl w:val="4"/>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任职单位与采购人或参加该采购项目供应商存在行政隶属关系；</w:t>
      </w:r>
    </w:p>
    <w:p>
      <w:pPr>
        <w:numPr>
          <w:ilvl w:val="0"/>
          <w:numId w:val="124"/>
        </w:numPr>
        <w:spacing w:line="440" w:lineRule="exact"/>
        <w:ind w:left="420" w:hanging="420" w:hangingChars="175"/>
        <w:outlineLvl w:val="4"/>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曾经参加过该采购项目的进口产品或采购文件、采购需求、采购方式的论证和咨询服务工作；</w:t>
      </w:r>
    </w:p>
    <w:p>
      <w:pPr>
        <w:numPr>
          <w:ilvl w:val="0"/>
          <w:numId w:val="124"/>
        </w:numPr>
        <w:spacing w:line="440" w:lineRule="exact"/>
        <w:ind w:left="420" w:hanging="420" w:hangingChars="175"/>
        <w:outlineLvl w:val="4"/>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是参加该采购项目供应商的上级主管部门、控股或参股单位的工作人员，或与该供应商存在其他经济利益关系；</w:t>
      </w:r>
    </w:p>
    <w:p>
      <w:pPr>
        <w:numPr>
          <w:ilvl w:val="0"/>
          <w:numId w:val="124"/>
        </w:numPr>
        <w:spacing w:line="440" w:lineRule="exact"/>
        <w:ind w:left="420" w:hanging="420" w:hangingChars="175"/>
        <w:outlineLvl w:val="4"/>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磋商小组成员之间具有配偶、近亲属关系；</w:t>
      </w:r>
    </w:p>
    <w:p>
      <w:pPr>
        <w:numPr>
          <w:ilvl w:val="0"/>
          <w:numId w:val="124"/>
        </w:numPr>
        <w:spacing w:line="440" w:lineRule="exact"/>
        <w:ind w:left="420" w:hanging="420" w:hangingChars="175"/>
        <w:outlineLvl w:val="4"/>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同一单位的评审专家在同一项目磋商小组成员中超过一名；</w:t>
      </w:r>
    </w:p>
    <w:p>
      <w:pPr>
        <w:numPr>
          <w:ilvl w:val="0"/>
          <w:numId w:val="124"/>
        </w:numPr>
        <w:spacing w:line="440" w:lineRule="exact"/>
        <w:ind w:left="420" w:hanging="420" w:hangingChars="175"/>
        <w:outlineLvl w:val="4"/>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法律、法规、规章规定应当回避以及其他可能影响政府采购活动公平、公正进行的关系。</w:t>
      </w:r>
    </w:p>
    <w:p>
      <w:pPr>
        <w:numPr>
          <w:ilvl w:val="0"/>
          <w:numId w:val="123"/>
        </w:numPr>
        <w:spacing w:line="440" w:lineRule="exact"/>
        <w:ind w:left="420" w:hanging="420" w:hangingChars="175"/>
        <w:outlineLvl w:val="2"/>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磋商小组判断竞争性磋商响应文件的有效性、合格性和响应情况，仅依据供应商所提交一切文件的真实表述，不受与本项目无直接关联的外部信息、传言而影响自身的专业判断。</w:t>
      </w:r>
    </w:p>
    <w:p>
      <w:pPr>
        <w:numPr>
          <w:ilvl w:val="0"/>
          <w:numId w:val="123"/>
        </w:numPr>
        <w:spacing w:line="440" w:lineRule="exact"/>
        <w:ind w:left="420" w:hanging="420" w:hangingChars="175"/>
        <w:outlineLvl w:val="2"/>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磋商小组各成员应当独立对每个供应商的竞争性磋商响应文件进行评价，并对评价意见承担个人责任。磋商小组成员对需要共同认定的事项存在争议的，应当按照少数服从多数的原则作出结论。持不同意见的磋商小组成员应当在评审报告上签署不同意见及理由，否则视为同意评审报告。</w:t>
      </w:r>
    </w:p>
    <w:p>
      <w:pPr>
        <w:numPr>
          <w:ilvl w:val="0"/>
          <w:numId w:val="122"/>
        </w:numPr>
        <w:spacing w:line="440" w:lineRule="exact"/>
        <w:ind w:firstLine="0"/>
        <w:outlineLvl w:val="1"/>
        <w:rPr>
          <w:rFonts w:hint="eastAsia" w:ascii="华文宋体" w:hAnsi="华文宋体" w:eastAsia="华文宋体" w:cs="华文宋体"/>
          <w:b/>
          <w:color w:val="auto"/>
          <w:sz w:val="24"/>
          <w:szCs w:val="24"/>
          <w:highlight w:val="none"/>
        </w:rPr>
      </w:pPr>
      <w:r>
        <w:rPr>
          <w:rFonts w:hint="eastAsia" w:ascii="华文宋体" w:hAnsi="华文宋体" w:eastAsia="华文宋体" w:cs="华文宋体"/>
          <w:b/>
          <w:color w:val="auto"/>
          <w:sz w:val="24"/>
          <w:szCs w:val="24"/>
          <w:highlight w:val="none"/>
        </w:rPr>
        <w:t>评审办法</w:t>
      </w:r>
    </w:p>
    <w:p>
      <w:pPr>
        <w:spacing w:line="440" w:lineRule="exact"/>
        <w:outlineLvl w:val="1"/>
        <w:rPr>
          <w:rFonts w:hint="eastAsia" w:ascii="华文宋体" w:hAnsi="华文宋体" w:eastAsia="华文宋体" w:cs="华文宋体"/>
          <w:b/>
          <w:color w:val="auto"/>
          <w:sz w:val="24"/>
          <w:szCs w:val="24"/>
          <w:highlight w:val="none"/>
        </w:rPr>
      </w:pPr>
      <w:r>
        <w:rPr>
          <w:rFonts w:hint="eastAsia" w:ascii="华文宋体" w:hAnsi="华文宋体" w:eastAsia="华文宋体" w:cs="华文宋体"/>
          <w:b/>
          <w:color w:val="auto"/>
          <w:sz w:val="24"/>
          <w:szCs w:val="24"/>
          <w:highlight w:val="none"/>
        </w:rPr>
        <w:t>(一)推荐成交候选供应商方法</w:t>
      </w:r>
    </w:p>
    <w:p>
      <w:pPr>
        <w:spacing w:line="440" w:lineRule="exact"/>
        <w:outlineLvl w:val="1"/>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本次磋商采用一轮磋商，两次报价形式进行。经磋商确定最终采购需求和提交最后报价的供应商后，由磋商小组采用综合评分法对提交最后报价的供应商的响应文件和最后报价进行综合评分。磋商小组按响应文件满足竞争性磋商文件全部实质性要求且按评审因素的量化指标评审得分由高到低的顺序推荐成交候选供应商。</w:t>
      </w:r>
    </w:p>
    <w:p>
      <w:pPr>
        <w:rPr>
          <w:rFonts w:hint="eastAsia" w:ascii="华文宋体" w:hAnsi="华文宋体" w:eastAsia="华文宋体" w:cs="华文宋体"/>
          <w:color w:val="auto"/>
          <w:highlight w:val="none"/>
        </w:rPr>
      </w:pPr>
    </w:p>
    <w:p>
      <w:pPr>
        <w:spacing w:line="440" w:lineRule="exact"/>
        <w:outlineLvl w:val="1"/>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b/>
          <w:color w:val="auto"/>
          <w:sz w:val="24"/>
          <w:szCs w:val="24"/>
          <w:highlight w:val="none"/>
        </w:rPr>
        <w:t>(二)响应文件差异修正准则</w:t>
      </w:r>
    </w:p>
    <w:p>
      <w:pPr>
        <w:tabs>
          <w:tab w:val="left" w:pos="0"/>
        </w:tabs>
        <w:spacing w:line="440" w:lineRule="exact"/>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响应文件出现差异时，修正原则及优先修正顺序如下：</w:t>
      </w:r>
    </w:p>
    <w:p>
      <w:pPr>
        <w:numPr>
          <w:ilvl w:val="0"/>
          <w:numId w:val="125"/>
        </w:numPr>
        <w:spacing w:line="440" w:lineRule="exact"/>
        <w:ind w:left="264" w:hanging="264" w:hangingChars="110"/>
        <w:rPr>
          <w:rFonts w:hint="eastAsia" w:ascii="华文宋体" w:hAnsi="华文宋体" w:eastAsia="华文宋体" w:cs="华文宋体"/>
          <w:color w:val="auto"/>
          <w:sz w:val="24"/>
          <w:szCs w:val="21"/>
          <w:highlight w:val="none"/>
        </w:rPr>
      </w:pPr>
      <w:r>
        <w:rPr>
          <w:rFonts w:hint="eastAsia" w:ascii="华文宋体" w:hAnsi="华文宋体" w:eastAsia="华文宋体" w:cs="华文宋体"/>
          <w:color w:val="auto"/>
          <w:sz w:val="24"/>
          <w:highlight w:val="none"/>
        </w:rPr>
        <w:t>报价内容与响应文件对应内容不一致的，均以报价内容为准；</w:t>
      </w:r>
    </w:p>
    <w:p>
      <w:pPr>
        <w:numPr>
          <w:ilvl w:val="0"/>
          <w:numId w:val="125"/>
        </w:numPr>
        <w:autoSpaceDE w:val="0"/>
        <w:autoSpaceDN w:val="0"/>
        <w:adjustRightInd w:val="0"/>
        <w:snapToGrid w:val="0"/>
        <w:spacing w:line="440" w:lineRule="exact"/>
        <w:ind w:left="264" w:hanging="264" w:hangingChars="110"/>
        <w:outlineLvl w:val="2"/>
        <w:rPr>
          <w:rFonts w:hint="eastAsia" w:ascii="华文宋体" w:hAnsi="华文宋体" w:eastAsia="华文宋体" w:cs="华文宋体"/>
          <w:color w:val="auto"/>
          <w:sz w:val="24"/>
          <w:highlight w:val="none"/>
        </w:rPr>
      </w:pPr>
      <w:r>
        <w:rPr>
          <w:rFonts w:hint="eastAsia" w:ascii="华文宋体" w:hAnsi="华文宋体" w:eastAsia="华文宋体" w:cs="华文宋体"/>
          <w:bCs/>
          <w:color w:val="auto"/>
          <w:sz w:val="24"/>
          <w:highlight w:val="none"/>
        </w:rPr>
        <w:t>初次报价一览表与分项明细表或其它相关报价表报价不一致的，均以初次报价一览表</w:t>
      </w:r>
      <w:r>
        <w:rPr>
          <w:rFonts w:hint="eastAsia" w:ascii="华文宋体" w:hAnsi="华文宋体" w:eastAsia="华文宋体" w:cs="华文宋体"/>
          <w:color w:val="auto"/>
          <w:sz w:val="24"/>
          <w:highlight w:val="none"/>
        </w:rPr>
        <w:t>为准；</w:t>
      </w:r>
    </w:p>
    <w:p>
      <w:pPr>
        <w:numPr>
          <w:ilvl w:val="0"/>
          <w:numId w:val="125"/>
        </w:numPr>
        <w:autoSpaceDE w:val="0"/>
        <w:autoSpaceDN w:val="0"/>
        <w:adjustRightInd w:val="0"/>
        <w:snapToGrid w:val="0"/>
        <w:spacing w:line="440" w:lineRule="exact"/>
        <w:ind w:left="264" w:hanging="264" w:hangingChars="110"/>
        <w:outlineLvl w:val="2"/>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分项报价表中的单价与对应的合计价不相符的，以单价为准，修正对应的该项合计价；</w:t>
      </w:r>
    </w:p>
    <w:p>
      <w:pPr>
        <w:numPr>
          <w:ilvl w:val="0"/>
          <w:numId w:val="125"/>
        </w:numPr>
        <w:autoSpaceDE w:val="0"/>
        <w:autoSpaceDN w:val="0"/>
        <w:adjustRightInd w:val="0"/>
        <w:snapToGrid w:val="0"/>
        <w:spacing w:line="440" w:lineRule="exact"/>
        <w:ind w:left="264" w:hanging="264" w:hangingChars="110"/>
        <w:outlineLvl w:val="2"/>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大写金额和小写金额不一致的，以大写金额为准；</w:t>
      </w:r>
    </w:p>
    <w:p>
      <w:pPr>
        <w:numPr>
          <w:ilvl w:val="0"/>
          <w:numId w:val="125"/>
        </w:numPr>
        <w:autoSpaceDE w:val="0"/>
        <w:autoSpaceDN w:val="0"/>
        <w:adjustRightInd w:val="0"/>
        <w:snapToGrid w:val="0"/>
        <w:spacing w:line="440" w:lineRule="exact"/>
        <w:ind w:left="264" w:hanging="264" w:hangingChars="110"/>
        <w:outlineLvl w:val="2"/>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单价金额小数点有明显错位的，应以总价为准，并修改单价；</w:t>
      </w:r>
    </w:p>
    <w:p>
      <w:pPr>
        <w:numPr>
          <w:ilvl w:val="0"/>
          <w:numId w:val="125"/>
        </w:numPr>
        <w:autoSpaceDE w:val="0"/>
        <w:autoSpaceDN w:val="0"/>
        <w:adjustRightInd w:val="0"/>
        <w:snapToGrid w:val="0"/>
        <w:spacing w:line="440" w:lineRule="exact"/>
        <w:ind w:left="264" w:hanging="264" w:hangingChars="110"/>
        <w:outlineLvl w:val="2"/>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响应文件描述内容与原始材料引述内容不一致的，以原始材料内容为准；</w:t>
      </w:r>
    </w:p>
    <w:p>
      <w:pPr>
        <w:numPr>
          <w:ilvl w:val="0"/>
          <w:numId w:val="125"/>
        </w:numPr>
        <w:autoSpaceDE w:val="0"/>
        <w:autoSpaceDN w:val="0"/>
        <w:adjustRightInd w:val="0"/>
        <w:snapToGrid w:val="0"/>
        <w:spacing w:line="440" w:lineRule="exact"/>
        <w:ind w:left="264" w:hanging="264" w:hangingChars="110"/>
        <w:outlineLvl w:val="2"/>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对不同文字文本响应文件的解释发生异议的，以中文文本为准；</w:t>
      </w:r>
    </w:p>
    <w:p>
      <w:pPr>
        <w:numPr>
          <w:ilvl w:val="0"/>
          <w:numId w:val="125"/>
        </w:numPr>
        <w:autoSpaceDE w:val="0"/>
        <w:autoSpaceDN w:val="0"/>
        <w:adjustRightInd w:val="0"/>
        <w:snapToGrid w:val="0"/>
        <w:spacing w:line="440" w:lineRule="exact"/>
        <w:ind w:left="264" w:hanging="264" w:hangingChars="110"/>
        <w:outlineLvl w:val="2"/>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对出现以上情况或因明显笔误而需修正任何内容时，均以磋商小组审定通过方为有效；</w:t>
      </w:r>
    </w:p>
    <w:p>
      <w:pPr>
        <w:numPr>
          <w:ilvl w:val="0"/>
          <w:numId w:val="125"/>
        </w:numPr>
        <w:autoSpaceDE w:val="0"/>
        <w:autoSpaceDN w:val="0"/>
        <w:adjustRightInd w:val="0"/>
        <w:snapToGrid w:val="0"/>
        <w:spacing w:line="440" w:lineRule="exact"/>
        <w:ind w:left="264" w:hanging="264" w:hangingChars="110"/>
        <w:outlineLvl w:val="2"/>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对采购项目的关键、主要内容，磋商供应商报价漏项的，作非实质性响应处理；</w:t>
      </w:r>
    </w:p>
    <w:p>
      <w:pPr>
        <w:numPr>
          <w:ilvl w:val="0"/>
          <w:numId w:val="125"/>
        </w:numPr>
        <w:autoSpaceDE w:val="0"/>
        <w:autoSpaceDN w:val="0"/>
        <w:adjustRightInd w:val="0"/>
        <w:snapToGrid w:val="0"/>
        <w:spacing w:line="440" w:lineRule="exact"/>
        <w:ind w:hangingChars="175"/>
        <w:outlineLvl w:val="2"/>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磋商小组认定为表述不清晰或无法确定的报价均不予修正。</w:t>
      </w:r>
    </w:p>
    <w:p>
      <w:pPr>
        <w:rPr>
          <w:rFonts w:hint="eastAsia" w:ascii="华文宋体" w:hAnsi="华文宋体" w:eastAsia="华文宋体" w:cs="华文宋体"/>
          <w:color w:val="auto"/>
          <w:highlight w:val="none"/>
        </w:rPr>
      </w:pPr>
    </w:p>
    <w:p>
      <w:pPr>
        <w:spacing w:line="440" w:lineRule="exact"/>
        <w:outlineLvl w:val="1"/>
        <w:rPr>
          <w:rFonts w:hint="eastAsia" w:ascii="华文宋体" w:hAnsi="华文宋体" w:eastAsia="华文宋体" w:cs="华文宋体"/>
          <w:b/>
          <w:color w:val="auto"/>
          <w:sz w:val="24"/>
          <w:szCs w:val="24"/>
          <w:highlight w:val="none"/>
        </w:rPr>
      </w:pPr>
      <w:r>
        <w:rPr>
          <w:rFonts w:hint="eastAsia" w:ascii="华文宋体" w:hAnsi="华文宋体" w:eastAsia="华文宋体" w:cs="华文宋体"/>
          <w:b/>
          <w:color w:val="auto"/>
          <w:sz w:val="24"/>
          <w:szCs w:val="24"/>
          <w:highlight w:val="none"/>
        </w:rPr>
        <w:t>(三)响应文件的澄清、说明或更正</w:t>
      </w:r>
    </w:p>
    <w:p>
      <w:pPr>
        <w:widowControl/>
        <w:numPr>
          <w:ilvl w:val="0"/>
          <w:numId w:val="126"/>
        </w:numPr>
        <w:spacing w:line="440" w:lineRule="exact"/>
        <w:ind w:left="264" w:hanging="264" w:hangingChars="110"/>
        <w:rPr>
          <w:rFonts w:hint="eastAsia" w:ascii="华文宋体" w:hAnsi="华文宋体" w:eastAsia="华文宋体" w:cs="华文宋体"/>
          <w:color w:val="auto"/>
          <w:sz w:val="24"/>
          <w:szCs w:val="21"/>
          <w:highlight w:val="none"/>
        </w:rPr>
      </w:pPr>
      <w:r>
        <w:rPr>
          <w:rFonts w:hint="eastAsia" w:ascii="华文宋体" w:hAnsi="华文宋体" w:eastAsia="华文宋体" w:cs="华文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numPr>
          <w:ilvl w:val="0"/>
          <w:numId w:val="126"/>
        </w:numPr>
        <w:spacing w:line="440" w:lineRule="exact"/>
        <w:ind w:left="264" w:hanging="264" w:hangingChars="11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磋商小组要求供应商澄清、说明或者更正响应文件应当以书面形式作出。供应商的澄清、说明或者更正应当由法定代表人或其授权代表签字或者加盖公章。</w:t>
      </w:r>
    </w:p>
    <w:p>
      <w:pPr>
        <w:widowControl/>
        <w:numPr>
          <w:ilvl w:val="0"/>
          <w:numId w:val="126"/>
        </w:numPr>
        <w:spacing w:line="440" w:lineRule="exact"/>
        <w:ind w:left="264" w:hanging="264" w:hangingChars="11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磋商小组均应当阅读供应商的澄清、说明或者更正，但应独立参考澄清、说明或者更正对响应文件进行评审，整个澄清、说明或者更正的过程不得存在排斥供应商的现象。</w:t>
      </w:r>
    </w:p>
    <w:p>
      <w:pPr>
        <w:widowControl/>
        <w:numPr>
          <w:ilvl w:val="0"/>
          <w:numId w:val="126"/>
        </w:numPr>
        <w:spacing w:line="440" w:lineRule="exact"/>
        <w:ind w:left="264" w:hanging="264" w:hangingChars="11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除上述规定的</w:t>
      </w:r>
      <w:r>
        <w:rPr>
          <w:rFonts w:hint="eastAsia" w:ascii="华文宋体" w:hAnsi="华文宋体" w:eastAsia="华文宋体" w:cs="华文宋体"/>
          <w:color w:val="auto"/>
          <w:kern w:val="0"/>
          <w:sz w:val="24"/>
          <w:highlight w:val="none"/>
        </w:rPr>
        <w:t>情形</w:t>
      </w:r>
      <w:r>
        <w:rPr>
          <w:rFonts w:hint="eastAsia" w:ascii="华文宋体" w:hAnsi="华文宋体" w:eastAsia="华文宋体" w:cs="华文宋体"/>
          <w:color w:val="auto"/>
          <w:sz w:val="24"/>
          <w:highlight w:val="none"/>
        </w:rPr>
        <w:t>之外，磋商小组在评审过程中，不得接收来自评审现场以外的任何形式的文件资料。</w:t>
      </w:r>
    </w:p>
    <w:p>
      <w:pPr>
        <w:pStyle w:val="47"/>
        <w:rPr>
          <w:rFonts w:hint="eastAsia" w:ascii="华文宋体" w:hAnsi="华文宋体" w:eastAsia="华文宋体" w:cs="华文宋体"/>
          <w:color w:val="auto"/>
          <w:highlight w:val="none"/>
        </w:rPr>
      </w:pPr>
    </w:p>
    <w:p>
      <w:pPr>
        <w:numPr>
          <w:ilvl w:val="0"/>
          <w:numId w:val="122"/>
        </w:numPr>
        <w:spacing w:line="440" w:lineRule="exact"/>
        <w:ind w:firstLine="0"/>
        <w:outlineLvl w:val="1"/>
        <w:rPr>
          <w:rFonts w:hint="eastAsia" w:ascii="华文宋体" w:hAnsi="华文宋体" w:eastAsia="华文宋体" w:cs="华文宋体"/>
          <w:b/>
          <w:color w:val="auto"/>
          <w:sz w:val="24"/>
          <w:szCs w:val="24"/>
          <w:highlight w:val="none"/>
        </w:rPr>
      </w:pPr>
      <w:r>
        <w:rPr>
          <w:rFonts w:hint="eastAsia" w:ascii="华文宋体" w:hAnsi="华文宋体" w:eastAsia="华文宋体" w:cs="华文宋体"/>
          <w:b/>
          <w:color w:val="auto"/>
          <w:sz w:val="24"/>
          <w:szCs w:val="24"/>
          <w:highlight w:val="none"/>
        </w:rPr>
        <w:t>评审程序</w:t>
      </w:r>
    </w:p>
    <w:p>
      <w:pPr>
        <w:spacing w:line="440" w:lineRule="exact"/>
        <w:outlineLvl w:val="1"/>
        <w:rPr>
          <w:rFonts w:hint="eastAsia" w:ascii="华文宋体" w:hAnsi="华文宋体" w:eastAsia="华文宋体" w:cs="华文宋体"/>
          <w:b/>
          <w:color w:val="auto"/>
          <w:sz w:val="24"/>
          <w:highlight w:val="none"/>
        </w:rPr>
      </w:pPr>
      <w:r>
        <w:rPr>
          <w:rFonts w:hint="eastAsia" w:ascii="华文宋体" w:hAnsi="华文宋体" w:eastAsia="华文宋体" w:cs="华文宋体"/>
          <w:b/>
          <w:color w:val="auto"/>
          <w:sz w:val="24"/>
          <w:highlight w:val="none"/>
        </w:rPr>
        <w:t>(一)响应文件初步评审</w:t>
      </w:r>
    </w:p>
    <w:p>
      <w:pPr>
        <w:numPr>
          <w:ilvl w:val="0"/>
          <w:numId w:val="127"/>
        </w:numPr>
        <w:spacing w:line="440" w:lineRule="exact"/>
        <w:ind w:left="264" w:hanging="264" w:hangingChars="110"/>
        <w:outlineLvl w:val="1"/>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szCs w:val="24"/>
          <w:highlight w:val="none"/>
        </w:rPr>
        <w:t>磋商小组根据《初步评审表》的内容逐条对响应文件进行评审，审查每份响应文件的相关资格证明文件是否齐全有效。审查每份响应文件是否实质上响应了竞争性磋商文件的要求，只要不满足《初步评审表》所列各项要求之一的，将被认定为无效响应。对响应有效性认定意见不一致的，磋商小组按简单多数原则表决决定。</w:t>
      </w:r>
    </w:p>
    <w:p>
      <w:pPr>
        <w:numPr>
          <w:ilvl w:val="0"/>
          <w:numId w:val="127"/>
        </w:numPr>
        <w:spacing w:line="440" w:lineRule="exact"/>
        <w:ind w:left="264" w:hanging="264" w:hangingChars="110"/>
        <w:outlineLvl w:val="1"/>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磋商小组对各供应商进行初步评审过程中，对初步被认定为初审不合格或无效响应者实行及时告知，由磋商小组将集体意见现场及时告知该供应商，以让其核证、澄清事实。</w:t>
      </w:r>
    </w:p>
    <w:p>
      <w:pPr>
        <w:numPr>
          <w:ilvl w:val="0"/>
          <w:numId w:val="127"/>
        </w:numPr>
        <w:spacing w:line="440" w:lineRule="exact"/>
        <w:ind w:left="264" w:hanging="264" w:hangingChars="110"/>
        <w:outlineLvl w:val="1"/>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在磋商过程中，供应商提交的澄清文件和最终响应文件，有供应商法定代表人或授权代表签署后生效，供应商应受其约束。因此，该签字人参加磋商时需出示有效的身份证明文件，否则，其签字的澄清文件和最终响应文件无效。</w:t>
      </w:r>
    </w:p>
    <w:p>
      <w:pPr>
        <w:numPr>
          <w:ilvl w:val="0"/>
          <w:numId w:val="127"/>
        </w:numPr>
        <w:spacing w:line="440" w:lineRule="exact"/>
        <w:ind w:left="264" w:hanging="264" w:hangingChars="110"/>
        <w:outlineLvl w:val="1"/>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磋商小组认为,供应商的报价明显不合理或者明显低于其他报价，有可能影响商品质量和不能诚信履约的，应当要求该供应商作出书面说明并提供相关证明材料。供应商不能合理说明和不能提供相关证明材料的，由磋商小组认定该供应商以低于成本报价竞价，响应无效。</w:t>
      </w:r>
    </w:p>
    <w:p>
      <w:pPr>
        <w:numPr>
          <w:ilvl w:val="0"/>
          <w:numId w:val="127"/>
        </w:numPr>
        <w:spacing w:line="440" w:lineRule="exact"/>
        <w:ind w:left="264" w:hanging="264" w:hangingChars="110"/>
        <w:outlineLvl w:val="1"/>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szCs w:val="24"/>
          <w:highlight w:val="none"/>
        </w:rPr>
        <w:t>磋商小组进行初步评审时发现供应商有实质性不响应竞争性磋商文件的，由磋商小组现</w:t>
      </w:r>
      <w:r>
        <w:rPr>
          <w:rFonts w:hint="eastAsia" w:ascii="华文宋体" w:hAnsi="华文宋体" w:eastAsia="华文宋体" w:cs="华文宋体"/>
          <w:color w:val="auto"/>
          <w:sz w:val="24"/>
          <w:highlight w:val="none"/>
        </w:rPr>
        <w:t>场告知该供应商并说明理由。</w:t>
      </w:r>
    </w:p>
    <w:p>
      <w:pPr>
        <w:numPr>
          <w:ilvl w:val="0"/>
          <w:numId w:val="127"/>
        </w:numPr>
        <w:spacing w:line="440" w:lineRule="exact"/>
        <w:ind w:left="264" w:hanging="264" w:hangingChars="110"/>
        <w:outlineLvl w:val="1"/>
        <w:rPr>
          <w:rFonts w:hint="eastAsia" w:ascii="华文宋体" w:hAnsi="华文宋体" w:eastAsia="华文宋体" w:cs="华文宋体"/>
          <w:b/>
          <w:color w:val="auto"/>
          <w:sz w:val="24"/>
          <w:highlight w:val="none"/>
        </w:rPr>
      </w:pPr>
      <w:r>
        <w:rPr>
          <w:rFonts w:hint="eastAsia" w:ascii="华文宋体" w:hAnsi="华文宋体" w:eastAsia="华文宋体" w:cs="华文宋体"/>
          <w:color w:val="auto"/>
          <w:sz w:val="24"/>
          <w:highlight w:val="none"/>
        </w:rPr>
        <w:t>被磋商小组确定为响应文件无效的，其响应文件即被视为不能通过初步评审，不参与技术、商务和价格的评审。</w:t>
      </w:r>
    </w:p>
    <w:p>
      <w:pPr>
        <w:rPr>
          <w:rFonts w:hint="eastAsia" w:ascii="华文宋体" w:hAnsi="华文宋体" w:eastAsia="华文宋体" w:cs="华文宋体"/>
          <w:color w:val="auto"/>
          <w:highlight w:val="none"/>
        </w:rPr>
      </w:pPr>
    </w:p>
    <w:p>
      <w:pPr>
        <w:spacing w:line="440" w:lineRule="exact"/>
        <w:outlineLvl w:val="1"/>
        <w:rPr>
          <w:rFonts w:hint="eastAsia" w:ascii="华文宋体" w:hAnsi="华文宋体" w:eastAsia="华文宋体" w:cs="华文宋体"/>
          <w:b/>
          <w:color w:val="auto"/>
          <w:sz w:val="24"/>
          <w:highlight w:val="none"/>
        </w:rPr>
      </w:pPr>
      <w:r>
        <w:rPr>
          <w:rFonts w:hint="eastAsia" w:ascii="华文宋体" w:hAnsi="华文宋体" w:eastAsia="华文宋体" w:cs="华文宋体"/>
          <w:b/>
          <w:color w:val="auto"/>
          <w:sz w:val="24"/>
          <w:highlight w:val="none"/>
        </w:rPr>
        <w:t>(二)商务技术磋商</w:t>
      </w:r>
    </w:p>
    <w:p>
      <w:pPr>
        <w:numPr>
          <w:ilvl w:val="0"/>
          <w:numId w:val="128"/>
        </w:numPr>
        <w:spacing w:line="440" w:lineRule="exact"/>
        <w:ind w:left="264" w:hanging="264" w:hangingChars="110"/>
        <w:outlineLvl w:val="1"/>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磋商小组邀请在规定时间内递交响应文件的供应商参加磋商，以递交响应文件的先后顺序对供应商进行磋商排序。</w:t>
      </w:r>
    </w:p>
    <w:p>
      <w:pPr>
        <w:numPr>
          <w:ilvl w:val="0"/>
          <w:numId w:val="128"/>
        </w:numPr>
        <w:spacing w:line="440" w:lineRule="exact"/>
        <w:ind w:left="264" w:hanging="264" w:hangingChars="110"/>
        <w:outlineLvl w:val="1"/>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磋商小组应围绕供应商的资格条件、商务、技术、合同条款等内容分别进行一轮或多轮的磋商。在磋商过程中，磋商小组应当严格遵循保密原则，未经供应商同意不得向任何人透露当事人技术、价格和其他重要信息。</w:t>
      </w:r>
    </w:p>
    <w:p>
      <w:pPr>
        <w:spacing w:line="440" w:lineRule="exact"/>
        <w:rPr>
          <w:rFonts w:hint="eastAsia" w:ascii="华文宋体" w:hAnsi="华文宋体" w:eastAsia="华文宋体" w:cs="华文宋体"/>
          <w:color w:val="auto"/>
          <w:highlight w:val="none"/>
        </w:rPr>
      </w:pPr>
    </w:p>
    <w:p>
      <w:pPr>
        <w:spacing w:line="440" w:lineRule="exact"/>
        <w:outlineLvl w:val="1"/>
        <w:rPr>
          <w:rFonts w:hint="eastAsia" w:ascii="华文宋体" w:hAnsi="华文宋体" w:eastAsia="华文宋体" w:cs="华文宋体"/>
          <w:b/>
          <w:color w:val="auto"/>
          <w:sz w:val="24"/>
          <w:highlight w:val="none"/>
        </w:rPr>
      </w:pPr>
      <w:r>
        <w:rPr>
          <w:rFonts w:hint="eastAsia" w:ascii="华文宋体" w:hAnsi="华文宋体" w:eastAsia="华文宋体" w:cs="华文宋体"/>
          <w:b/>
          <w:color w:val="auto"/>
          <w:sz w:val="24"/>
          <w:highlight w:val="none"/>
        </w:rPr>
        <w:t>(三)磋商文件的修正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磋商小组调整或修改采购需求内容时，应取得磋商小组的一致同意，并以书面形式通知所有参加磋商的供应商。但任何形式的决定须以符合公平、公正原则和有利于项目的顺利实施为前提。</w:t>
      </w:r>
      <w:r>
        <w:rPr>
          <w:rFonts w:hint="eastAsia" w:ascii="华文宋体" w:hAnsi="华文宋体" w:eastAsia="华文宋体" w:cs="华文宋体"/>
          <w:color w:val="auto"/>
          <w:sz w:val="24"/>
          <w:highlight w:val="none"/>
        </w:rPr>
        <w:br w:type="textWrapping"/>
      </w:r>
    </w:p>
    <w:p>
      <w:pPr>
        <w:keepNext w:val="0"/>
        <w:keepLines w:val="0"/>
        <w:pageBreakBefore w:val="0"/>
        <w:widowControl w:val="0"/>
        <w:numPr>
          <w:ilvl w:val="0"/>
          <w:numId w:val="122"/>
        </w:numPr>
        <w:kinsoku/>
        <w:wordWrap/>
        <w:overflowPunct/>
        <w:topLinePunct w:val="0"/>
        <w:autoSpaceDE/>
        <w:autoSpaceDN/>
        <w:bidi w:val="0"/>
        <w:adjustRightInd/>
        <w:snapToGrid/>
        <w:spacing w:after="120" w:afterLines="50" w:line="440" w:lineRule="exact"/>
        <w:ind w:firstLine="0"/>
        <w:textAlignment w:val="auto"/>
        <w:outlineLvl w:val="1"/>
        <w:rPr>
          <w:rFonts w:hint="eastAsia" w:ascii="华文宋体" w:hAnsi="华文宋体" w:eastAsia="华文宋体" w:cs="华文宋体"/>
          <w:b/>
          <w:color w:val="auto"/>
          <w:sz w:val="24"/>
          <w:szCs w:val="24"/>
          <w:highlight w:val="none"/>
        </w:rPr>
      </w:pPr>
      <w:r>
        <w:rPr>
          <w:rFonts w:hint="eastAsia" w:ascii="华文宋体" w:hAnsi="华文宋体" w:eastAsia="华文宋体" w:cs="华文宋体"/>
          <w:b/>
          <w:color w:val="auto"/>
          <w:sz w:val="24"/>
          <w:szCs w:val="24"/>
          <w:highlight w:val="none"/>
        </w:rPr>
        <w:t>初步评审表</w:t>
      </w:r>
    </w:p>
    <w:tbl>
      <w:tblPr>
        <w:tblStyle w:val="30"/>
        <w:tblW w:w="0" w:type="auto"/>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788" w:type="dxa"/>
            <w:shd w:val="clear" w:color="auto" w:fill="D7D7D7"/>
            <w:noWrap w:val="0"/>
            <w:tcMar>
              <w:top w:w="57" w:type="dxa"/>
              <w:left w:w="108" w:type="dxa"/>
              <w:bottom w:w="57" w:type="dxa"/>
              <w:right w:w="108" w:type="dxa"/>
            </w:tcMar>
            <w:vAlign w:val="center"/>
          </w:tcPr>
          <w:p>
            <w:pPr>
              <w:ind w:left="-90" w:leftChars="-50" w:right="-90" w:rightChars="-50"/>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序号</w:t>
            </w:r>
          </w:p>
        </w:tc>
        <w:tc>
          <w:tcPr>
            <w:tcW w:w="8416" w:type="dxa"/>
            <w:shd w:val="clear" w:color="auto" w:fill="D7D7D7"/>
            <w:noWrap w:val="0"/>
            <w:tcMar>
              <w:top w:w="57" w:type="dxa"/>
              <w:left w:w="108" w:type="dxa"/>
              <w:bottom w:w="57" w:type="dxa"/>
              <w:right w:w="108" w:type="dxa"/>
            </w:tcMar>
            <w:vAlign w:val="center"/>
          </w:tcPr>
          <w:p>
            <w:pPr>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129"/>
              </w:numPr>
              <w:adjustRightInd w:val="0"/>
              <w:snapToGrid w:val="0"/>
              <w:spacing w:line="400" w:lineRule="exact"/>
              <w:ind w:left="137" w:leftChars="-50" w:right="-90" w:rightChars="-50" w:hanging="227"/>
              <w:jc w:val="right"/>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37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具有独立承担民事责任的能力（提供在中华人民共和国境内注册的法人或其他组织的营业执照或事业单位法人证书或社会团体法人登记证书或执业许可证复印件，如供应商为自然人的提供自然人身份证明复印件；如国家另有规定的，则从其规定。【分支机构响应，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129"/>
              </w:numPr>
              <w:adjustRightInd w:val="0"/>
              <w:snapToGrid w:val="0"/>
              <w:spacing w:line="400" w:lineRule="exact"/>
              <w:ind w:left="137" w:leftChars="-50" w:right="-90" w:rightChars="-50" w:hanging="227"/>
              <w:jc w:val="right"/>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41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具有良好的商业信誉和健全的财务会计制度。【提供磋商响应声明函】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129"/>
              </w:numPr>
              <w:adjustRightInd w:val="0"/>
              <w:snapToGrid w:val="0"/>
              <w:spacing w:line="400" w:lineRule="exact"/>
              <w:ind w:left="137" w:leftChars="-50" w:right="-90" w:rightChars="-50" w:hanging="227"/>
              <w:jc w:val="right"/>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41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bCs/>
                <w:color w:val="auto"/>
                <w:sz w:val="23"/>
                <w:szCs w:val="23"/>
                <w:highlight w:val="none"/>
              </w:rPr>
              <w:t>具有履行合同所必需的设备和专业技术能力。【提供</w:t>
            </w:r>
            <w:r>
              <w:rPr>
                <w:rFonts w:hint="eastAsia" w:ascii="华文宋体" w:hAnsi="华文宋体" w:eastAsia="华文宋体" w:cs="华文宋体"/>
                <w:color w:val="auto"/>
                <w:sz w:val="23"/>
                <w:szCs w:val="23"/>
                <w:highlight w:val="none"/>
              </w:rPr>
              <w:t>磋商响应声明函</w:t>
            </w:r>
            <w:r>
              <w:rPr>
                <w:rFonts w:hint="eastAsia" w:ascii="华文宋体" w:hAnsi="华文宋体" w:eastAsia="华文宋体" w:cs="华文宋体"/>
                <w:bCs/>
                <w:color w:val="auto"/>
                <w:sz w:val="23"/>
                <w:szCs w:val="23"/>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129"/>
              </w:numPr>
              <w:adjustRightInd w:val="0"/>
              <w:snapToGrid w:val="0"/>
              <w:spacing w:line="400" w:lineRule="exact"/>
              <w:ind w:left="137" w:leftChars="-50" w:right="-90" w:rightChars="-50" w:hanging="227"/>
              <w:jc w:val="right"/>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41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bCs/>
                <w:color w:val="auto"/>
                <w:sz w:val="23"/>
                <w:szCs w:val="23"/>
                <w:highlight w:val="none"/>
              </w:rPr>
              <w:t>有依法缴纳税收和社会保障资金的良好记录。【提供</w:t>
            </w:r>
            <w:r>
              <w:rPr>
                <w:rFonts w:hint="eastAsia" w:ascii="华文宋体" w:hAnsi="华文宋体" w:eastAsia="华文宋体" w:cs="华文宋体"/>
                <w:color w:val="auto"/>
                <w:sz w:val="23"/>
                <w:szCs w:val="23"/>
                <w:highlight w:val="none"/>
              </w:rPr>
              <w:t>磋商响应声明函</w:t>
            </w:r>
            <w:r>
              <w:rPr>
                <w:rFonts w:hint="eastAsia" w:ascii="华文宋体" w:hAnsi="华文宋体" w:eastAsia="华文宋体" w:cs="华文宋体"/>
                <w:bCs/>
                <w:color w:val="auto"/>
                <w:sz w:val="23"/>
                <w:szCs w:val="23"/>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129"/>
              </w:numPr>
              <w:adjustRightInd w:val="0"/>
              <w:snapToGrid w:val="0"/>
              <w:spacing w:line="400" w:lineRule="exact"/>
              <w:ind w:left="137" w:leftChars="-50" w:right="-90" w:rightChars="-50" w:hanging="227"/>
              <w:jc w:val="right"/>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37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参加政府采购活动前三年内，在经营活动中没有重大违法记录（重大违法记录，是指供应商因违法经营受到刑事处罚或者责令停产停业、吊销许可证或者执照、较大数额罚款等行政处罚。（根据财库〔2022〕3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 ）【提供磋商响应声明函】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129"/>
              </w:numPr>
              <w:adjustRightInd w:val="0"/>
              <w:snapToGrid w:val="0"/>
              <w:spacing w:line="400" w:lineRule="exact"/>
              <w:ind w:left="137" w:leftChars="-50" w:right="-90" w:rightChars="-50" w:hanging="227"/>
              <w:jc w:val="right"/>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37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lang w:val="zh-CN"/>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r>
              <w:rPr>
                <w:rFonts w:hint="eastAsia" w:ascii="华文宋体" w:hAnsi="华文宋体" w:eastAsia="华文宋体" w:cs="华文宋体"/>
                <w:color w:val="auto"/>
                <w:sz w:val="23"/>
                <w:szCs w:val="23"/>
                <w:highlight w:val="none"/>
              </w:rPr>
              <w:t>提供资格声明函，</w:t>
            </w:r>
            <w:r>
              <w:rPr>
                <w:rFonts w:hint="eastAsia" w:ascii="华文宋体" w:hAnsi="华文宋体" w:eastAsia="华文宋体" w:cs="华文宋体"/>
                <w:color w:val="auto"/>
                <w:sz w:val="23"/>
                <w:szCs w:val="23"/>
                <w:highlight w:val="none"/>
                <w:lang w:val="zh-CN"/>
              </w:rPr>
              <w:t>以采购代理机构或采购人于资格审查时在上述网站查询结果为准，如在上述网站查询结果均显示没有相关记录，视为没有上述不良信用记录。同时对信用信息查询记录和证据截图存档。如相关失信记录已失效，供应商须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129"/>
              </w:numPr>
              <w:adjustRightInd w:val="0"/>
              <w:snapToGrid w:val="0"/>
              <w:spacing w:line="400" w:lineRule="exact"/>
              <w:ind w:left="137" w:leftChars="-50" w:right="-90" w:rightChars="-50" w:hanging="227"/>
              <w:jc w:val="right"/>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37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法定代表人或单位负责人为同一人或者存在直接控股、管理关系的不同供应商，不得参加同一合同项下的政府采购活动；为项目提供整体设计、规范编制或者项目管理、监理、检测等服务的供应商，不得再参加该项目的其他采购活动。【提供磋商响应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129"/>
              </w:numPr>
              <w:adjustRightInd w:val="0"/>
              <w:snapToGrid w:val="0"/>
              <w:spacing w:line="400" w:lineRule="exact"/>
              <w:ind w:left="137" w:leftChars="-50" w:right="-90" w:rightChars="-50" w:hanging="227"/>
              <w:jc w:val="right"/>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落实政府采购政策需满足的资格要求:本项目的中小企业划分标准所属行业为：其他未列明行业。【提供中小企业声明函】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129"/>
              </w:numPr>
              <w:adjustRightInd w:val="0"/>
              <w:snapToGrid w:val="0"/>
              <w:spacing w:line="400" w:lineRule="exact"/>
              <w:ind w:left="137" w:leftChars="-50" w:right="-90" w:rightChars="-50" w:hanging="227"/>
              <w:jc w:val="right"/>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响应供应商提供交通行政主管部门审核通过的二类及以上机动车维修经营备案证明材料复印件，或提供承诺函承诺中标后一个月内完成二类及以上机动车维修经营备案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center"/>
          </w:tcPr>
          <w:p>
            <w:pPr>
              <w:numPr>
                <w:ilvl w:val="0"/>
                <w:numId w:val="129"/>
              </w:numPr>
              <w:adjustRightInd w:val="0"/>
              <w:snapToGrid w:val="0"/>
              <w:spacing w:line="400" w:lineRule="exact"/>
              <w:ind w:left="137" w:leftChars="-50" w:right="-90" w:rightChars="-50" w:hanging="227"/>
              <w:jc w:val="right"/>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已向采购代理机构报名购买本项目竞争性磋商文件。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top"/>
          </w:tcPr>
          <w:p>
            <w:pPr>
              <w:numPr>
                <w:ilvl w:val="0"/>
                <w:numId w:val="129"/>
              </w:numPr>
              <w:adjustRightInd w:val="0"/>
              <w:snapToGrid w:val="0"/>
              <w:spacing w:line="400" w:lineRule="exact"/>
              <w:ind w:left="137" w:leftChars="-50" w:right="-90" w:rightChars="-50" w:hanging="227"/>
              <w:jc w:val="right"/>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供应商为独立法人或组织，非联合体。【提供磋商响应声明函】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top"/>
          </w:tcPr>
          <w:p>
            <w:pPr>
              <w:numPr>
                <w:ilvl w:val="0"/>
                <w:numId w:val="129"/>
              </w:numPr>
              <w:adjustRightInd w:val="0"/>
              <w:snapToGrid w:val="0"/>
              <w:spacing w:line="400" w:lineRule="exact"/>
              <w:ind w:left="137" w:leftChars="-50" w:right="-90" w:rightChars="-50" w:hanging="227"/>
              <w:jc w:val="right"/>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36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按照竞争性磋商文件规定要求密封、签署和盖章的。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top"/>
          </w:tcPr>
          <w:p>
            <w:pPr>
              <w:numPr>
                <w:ilvl w:val="0"/>
                <w:numId w:val="129"/>
              </w:numPr>
              <w:adjustRightInd w:val="0"/>
              <w:snapToGrid w:val="0"/>
              <w:spacing w:line="400" w:lineRule="exact"/>
              <w:ind w:left="-90" w:leftChars="-50" w:right="-90" w:rightChars="-50"/>
              <w:jc w:val="center"/>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36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法定代表人证明书及授权委托书（法人本人参加的可不提供授权委托书）。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top"/>
          </w:tcPr>
          <w:p>
            <w:pPr>
              <w:numPr>
                <w:ilvl w:val="0"/>
                <w:numId w:val="129"/>
              </w:numPr>
              <w:adjustRightInd w:val="0"/>
              <w:snapToGrid w:val="0"/>
              <w:spacing w:line="400" w:lineRule="exact"/>
              <w:ind w:left="-90" w:leftChars="-50" w:right="-90" w:rightChars="-50"/>
              <w:jc w:val="center"/>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36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磋商报价是唯一的且无备选方案，未超过最高限价。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top"/>
          </w:tcPr>
          <w:p>
            <w:pPr>
              <w:numPr>
                <w:ilvl w:val="0"/>
                <w:numId w:val="129"/>
              </w:numPr>
              <w:adjustRightInd w:val="0"/>
              <w:snapToGrid w:val="0"/>
              <w:spacing w:line="400" w:lineRule="exact"/>
              <w:ind w:left="-90" w:leftChars="-50" w:right="-90" w:rightChars="-50"/>
              <w:jc w:val="center"/>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37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磋商响应文件完全满足竞争性磋商文件的实质性性响应条款（即标注★号条款）无负偏离的。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8" w:type="dxa"/>
            <w:noWrap w:val="0"/>
            <w:tcMar>
              <w:top w:w="57" w:type="dxa"/>
              <w:left w:w="108" w:type="dxa"/>
              <w:bottom w:w="57" w:type="dxa"/>
              <w:right w:w="108" w:type="dxa"/>
            </w:tcMar>
            <w:vAlign w:val="top"/>
          </w:tcPr>
          <w:p>
            <w:pPr>
              <w:numPr>
                <w:ilvl w:val="0"/>
                <w:numId w:val="129"/>
              </w:numPr>
              <w:adjustRightInd w:val="0"/>
              <w:snapToGrid w:val="0"/>
              <w:spacing w:line="400" w:lineRule="exact"/>
              <w:ind w:left="-90" w:leftChars="-50" w:right="-90" w:rightChars="-50"/>
              <w:jc w:val="center"/>
              <w:rPr>
                <w:rFonts w:hint="eastAsia" w:ascii="华文宋体" w:hAnsi="华文宋体" w:eastAsia="华文宋体" w:cs="华文宋体"/>
                <w:color w:val="auto"/>
                <w:sz w:val="23"/>
                <w:szCs w:val="23"/>
                <w:highlight w:val="none"/>
              </w:rPr>
            </w:pPr>
          </w:p>
        </w:tc>
        <w:tc>
          <w:tcPr>
            <w:tcW w:w="8416"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未存在有关法律、法规、规章或磋商文件规定的属于响应无效的情形。</w:t>
            </w:r>
          </w:p>
        </w:tc>
      </w:tr>
    </w:tbl>
    <w:p>
      <w:pPr>
        <w:pStyle w:val="47"/>
        <w:rPr>
          <w:rFonts w:hint="eastAsia" w:ascii="华文宋体" w:hAnsi="华文宋体" w:eastAsia="华文宋体" w:cs="华文宋体"/>
          <w:color w:val="auto"/>
          <w:highlight w:val="none"/>
        </w:rPr>
      </w:pPr>
    </w:p>
    <w:p>
      <w:pPr>
        <w:numPr>
          <w:ilvl w:val="0"/>
          <w:numId w:val="122"/>
        </w:numPr>
        <w:spacing w:before="120" w:beforeLines="50"/>
        <w:ind w:firstLine="0"/>
        <w:outlineLvl w:val="1"/>
        <w:rPr>
          <w:rFonts w:hint="eastAsia" w:ascii="华文宋体" w:hAnsi="华文宋体" w:eastAsia="华文宋体" w:cs="华文宋体"/>
          <w:b/>
          <w:color w:val="auto"/>
          <w:sz w:val="24"/>
          <w:szCs w:val="24"/>
          <w:highlight w:val="none"/>
        </w:rPr>
      </w:pPr>
      <w:r>
        <w:rPr>
          <w:rFonts w:hint="eastAsia" w:ascii="华文宋体" w:hAnsi="华文宋体" w:eastAsia="华文宋体" w:cs="华文宋体"/>
          <w:b/>
          <w:color w:val="auto"/>
          <w:sz w:val="24"/>
          <w:szCs w:val="24"/>
          <w:highlight w:val="none"/>
        </w:rPr>
        <w:t>采用综合评分法</w:t>
      </w:r>
    </w:p>
    <w:p>
      <w:pPr>
        <w:keepNext w:val="0"/>
        <w:keepLines w:val="0"/>
        <w:pageBreakBefore w:val="0"/>
        <w:widowControl w:val="0"/>
        <w:numPr>
          <w:ilvl w:val="0"/>
          <w:numId w:val="130"/>
        </w:numPr>
        <w:kinsoku/>
        <w:wordWrap/>
        <w:overflowPunct/>
        <w:topLinePunct w:val="0"/>
        <w:autoSpaceDE/>
        <w:autoSpaceDN/>
        <w:bidi w:val="0"/>
        <w:adjustRightInd/>
        <w:snapToGrid/>
        <w:ind w:firstLine="0"/>
        <w:textAlignment w:val="auto"/>
        <w:outlineLvl w:val="2"/>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综合得分</w:t>
      </w:r>
      <w:r>
        <w:rPr>
          <w:rFonts w:hint="eastAsia" w:ascii="华文宋体" w:hAnsi="华文宋体" w:eastAsia="华文宋体" w:cs="华文宋体"/>
          <w:color w:val="auto"/>
          <w:sz w:val="10"/>
          <w:szCs w:val="10"/>
          <w:highlight w:val="none"/>
        </w:rPr>
        <w:t xml:space="preserve"> </w:t>
      </w:r>
      <w:r>
        <w:rPr>
          <w:rFonts w:hint="eastAsia" w:ascii="华文宋体" w:hAnsi="华文宋体" w:eastAsia="华文宋体" w:cs="华文宋体"/>
          <w:color w:val="auto"/>
          <w:sz w:val="24"/>
          <w:szCs w:val="24"/>
          <w:highlight w:val="none"/>
        </w:rPr>
        <w:t>=</w:t>
      </w:r>
      <w:r>
        <w:rPr>
          <w:rFonts w:hint="eastAsia" w:ascii="华文宋体" w:hAnsi="华文宋体" w:eastAsia="华文宋体" w:cs="华文宋体"/>
          <w:color w:val="auto"/>
          <w:sz w:val="10"/>
          <w:szCs w:val="10"/>
          <w:highlight w:val="none"/>
        </w:rPr>
        <w:t xml:space="preserve"> </w:t>
      </w:r>
      <w:r>
        <w:rPr>
          <w:rFonts w:hint="eastAsia" w:ascii="华文宋体" w:hAnsi="华文宋体" w:eastAsia="华文宋体" w:cs="华文宋体"/>
          <w:color w:val="auto"/>
          <w:sz w:val="24"/>
          <w:szCs w:val="24"/>
          <w:highlight w:val="none"/>
        </w:rPr>
        <w:t>商务得分</w:t>
      </w:r>
      <w:r>
        <w:rPr>
          <w:rFonts w:hint="eastAsia" w:ascii="华文宋体" w:hAnsi="华文宋体" w:eastAsia="华文宋体" w:cs="华文宋体"/>
          <w:color w:val="auto"/>
          <w:sz w:val="10"/>
          <w:szCs w:val="10"/>
          <w:highlight w:val="none"/>
        </w:rPr>
        <w:t xml:space="preserve"> </w:t>
      </w:r>
      <w:r>
        <w:rPr>
          <w:rFonts w:hint="eastAsia" w:ascii="华文宋体" w:hAnsi="华文宋体" w:eastAsia="华文宋体" w:cs="华文宋体"/>
          <w:color w:val="auto"/>
          <w:sz w:val="24"/>
          <w:szCs w:val="24"/>
          <w:highlight w:val="none"/>
        </w:rPr>
        <w:t>+</w:t>
      </w:r>
      <w:r>
        <w:rPr>
          <w:rFonts w:hint="eastAsia" w:ascii="华文宋体" w:hAnsi="华文宋体" w:eastAsia="华文宋体" w:cs="华文宋体"/>
          <w:color w:val="auto"/>
          <w:sz w:val="10"/>
          <w:szCs w:val="10"/>
          <w:highlight w:val="none"/>
        </w:rPr>
        <w:t xml:space="preserve"> </w:t>
      </w:r>
      <w:r>
        <w:rPr>
          <w:rFonts w:hint="eastAsia" w:ascii="华文宋体" w:hAnsi="华文宋体" w:eastAsia="华文宋体" w:cs="华文宋体"/>
          <w:color w:val="auto"/>
          <w:sz w:val="24"/>
          <w:szCs w:val="24"/>
          <w:highlight w:val="none"/>
        </w:rPr>
        <w:t>技术得分</w:t>
      </w:r>
      <w:r>
        <w:rPr>
          <w:rFonts w:hint="eastAsia" w:ascii="华文宋体" w:hAnsi="华文宋体" w:eastAsia="华文宋体" w:cs="华文宋体"/>
          <w:color w:val="auto"/>
          <w:sz w:val="10"/>
          <w:szCs w:val="10"/>
          <w:highlight w:val="none"/>
        </w:rPr>
        <w:t xml:space="preserve"> </w:t>
      </w:r>
      <w:r>
        <w:rPr>
          <w:rFonts w:hint="eastAsia" w:ascii="华文宋体" w:hAnsi="华文宋体" w:eastAsia="华文宋体" w:cs="华文宋体"/>
          <w:color w:val="auto"/>
          <w:sz w:val="24"/>
          <w:szCs w:val="24"/>
          <w:highlight w:val="none"/>
        </w:rPr>
        <w:t>+</w:t>
      </w:r>
      <w:r>
        <w:rPr>
          <w:rFonts w:hint="eastAsia" w:ascii="华文宋体" w:hAnsi="华文宋体" w:eastAsia="华文宋体" w:cs="华文宋体"/>
          <w:color w:val="auto"/>
          <w:sz w:val="10"/>
          <w:szCs w:val="10"/>
          <w:highlight w:val="none"/>
        </w:rPr>
        <w:t xml:space="preserve"> </w:t>
      </w:r>
      <w:r>
        <w:rPr>
          <w:rFonts w:hint="eastAsia" w:ascii="华文宋体" w:hAnsi="华文宋体" w:eastAsia="华文宋体" w:cs="华文宋体"/>
          <w:color w:val="auto"/>
          <w:sz w:val="24"/>
          <w:szCs w:val="24"/>
          <w:highlight w:val="none"/>
        </w:rPr>
        <w:t>价格得分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1844"/>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2929" w:type="dxa"/>
            <w:shd w:val="clear" w:color="auto" w:fill="D7D7D7"/>
            <w:noWrap w:val="0"/>
            <w:vAlign w:val="center"/>
          </w:tcPr>
          <w:p>
            <w:pPr>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评分项目</w:t>
            </w:r>
          </w:p>
        </w:tc>
        <w:tc>
          <w:tcPr>
            <w:tcW w:w="1844" w:type="dxa"/>
            <w:shd w:val="clear" w:color="auto" w:fill="D7D7D7"/>
            <w:noWrap w:val="0"/>
            <w:vAlign w:val="center"/>
          </w:tcPr>
          <w:p>
            <w:pPr>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权重</w:t>
            </w:r>
          </w:p>
        </w:tc>
        <w:tc>
          <w:tcPr>
            <w:tcW w:w="1844" w:type="dxa"/>
            <w:shd w:val="clear" w:color="auto" w:fill="D7D7D7"/>
            <w:noWrap w:val="0"/>
            <w:vAlign w:val="center"/>
          </w:tcPr>
          <w:p>
            <w:pPr>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b/>
                <w:bCs/>
                <w:color w:val="auto"/>
                <w:sz w:val="23"/>
                <w:szCs w:val="23"/>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929" w:type="dxa"/>
            <w:noWrap w:val="0"/>
            <w:vAlign w:val="center"/>
          </w:tcPr>
          <w:p>
            <w:pPr>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商务部分</w:t>
            </w:r>
          </w:p>
        </w:tc>
        <w:tc>
          <w:tcPr>
            <w:tcW w:w="1844" w:type="dxa"/>
            <w:noWrap w:val="0"/>
            <w:vAlign w:val="center"/>
          </w:tcPr>
          <w:p>
            <w:pPr>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40%</w:t>
            </w:r>
          </w:p>
        </w:tc>
        <w:tc>
          <w:tcPr>
            <w:tcW w:w="1844" w:type="dxa"/>
            <w:noWrap w:val="0"/>
            <w:vAlign w:val="center"/>
          </w:tcPr>
          <w:p>
            <w:pPr>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929" w:type="dxa"/>
            <w:noWrap w:val="0"/>
            <w:vAlign w:val="center"/>
          </w:tcPr>
          <w:p>
            <w:pPr>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技术部分</w:t>
            </w:r>
          </w:p>
        </w:tc>
        <w:tc>
          <w:tcPr>
            <w:tcW w:w="1844" w:type="dxa"/>
            <w:noWrap w:val="0"/>
            <w:vAlign w:val="center"/>
          </w:tcPr>
          <w:p>
            <w:pPr>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50%</w:t>
            </w:r>
          </w:p>
        </w:tc>
        <w:tc>
          <w:tcPr>
            <w:tcW w:w="1844" w:type="dxa"/>
            <w:noWrap w:val="0"/>
            <w:vAlign w:val="center"/>
          </w:tcPr>
          <w:p>
            <w:pPr>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929" w:type="dxa"/>
            <w:noWrap w:val="0"/>
            <w:vAlign w:val="center"/>
          </w:tcPr>
          <w:p>
            <w:pPr>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价格部分</w:t>
            </w:r>
          </w:p>
        </w:tc>
        <w:tc>
          <w:tcPr>
            <w:tcW w:w="1844" w:type="dxa"/>
            <w:noWrap w:val="0"/>
            <w:vAlign w:val="center"/>
          </w:tcPr>
          <w:p>
            <w:pPr>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10%</w:t>
            </w:r>
          </w:p>
        </w:tc>
        <w:tc>
          <w:tcPr>
            <w:tcW w:w="1844" w:type="dxa"/>
            <w:noWrap w:val="0"/>
            <w:vAlign w:val="center"/>
          </w:tcPr>
          <w:p>
            <w:pPr>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10分</w:t>
            </w:r>
          </w:p>
        </w:tc>
      </w:tr>
    </w:tbl>
    <w:p>
      <w:pPr>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highlight w:val="none"/>
        </w:rPr>
      </w:pPr>
      <w:bookmarkStart w:id="101" w:name="_Hlk529434901"/>
    </w:p>
    <w:p>
      <w:pPr>
        <w:spacing w:after="240" w:afterLines="100"/>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b/>
          <w:bCs/>
          <w:color w:val="auto"/>
          <w:sz w:val="24"/>
          <w:szCs w:val="24"/>
          <w:highlight w:val="none"/>
        </w:rPr>
        <w:t>1.商务评审因素（40分）</w:t>
      </w:r>
    </w:p>
    <w:tbl>
      <w:tblPr>
        <w:tblStyle w:val="30"/>
        <w:tblW w:w="0" w:type="auto"/>
        <w:tblInd w:w="79"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45"/>
        <w:gridCol w:w="1735"/>
        <w:gridCol w:w="6144"/>
        <w:gridCol w:w="70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95" w:hRule="atLeast"/>
          <w:tblHeader/>
        </w:trPr>
        <w:tc>
          <w:tcPr>
            <w:tcW w:w="645" w:type="dxa"/>
            <w:tcBorders>
              <w:top w:val="single" w:color="auto" w:sz="6" w:space="0"/>
              <w:left w:val="single" w:color="auto" w:sz="6" w:space="0"/>
              <w:bottom w:val="single" w:color="auto" w:sz="6" w:space="0"/>
              <w:right w:val="single" w:color="auto" w:sz="6" w:space="0"/>
            </w:tcBorders>
            <w:shd w:val="clear" w:color="auto" w:fill="D7D7D7"/>
            <w:noWrap w:val="0"/>
            <w:tcMar>
              <w:top w:w="57" w:type="dxa"/>
              <w:left w:w="57" w:type="dxa"/>
              <w:bottom w:w="57" w:type="dxa"/>
              <w:right w:w="57" w:type="dxa"/>
            </w:tcMar>
            <w:vAlign w:val="center"/>
          </w:tcPr>
          <w:p>
            <w:pPr>
              <w:spacing w:line="340" w:lineRule="exact"/>
              <w:jc w:val="center"/>
              <w:rPr>
                <w:rFonts w:hint="eastAsia" w:ascii="华文宋体" w:hAnsi="华文宋体" w:eastAsia="华文宋体" w:cs="华文宋体"/>
                <w:b/>
                <w:bCs/>
                <w:color w:val="auto"/>
                <w:sz w:val="23"/>
                <w:szCs w:val="23"/>
                <w:highlight w:val="none"/>
              </w:rPr>
            </w:pPr>
            <w:bookmarkStart w:id="102" w:name="_Hlk525230199"/>
            <w:r>
              <w:rPr>
                <w:rFonts w:hint="eastAsia" w:ascii="华文宋体" w:hAnsi="华文宋体" w:eastAsia="华文宋体" w:cs="华文宋体"/>
                <w:b/>
                <w:bCs/>
                <w:color w:val="auto"/>
                <w:sz w:val="23"/>
                <w:szCs w:val="23"/>
                <w:highlight w:val="none"/>
              </w:rPr>
              <w:t>序号</w:t>
            </w:r>
          </w:p>
        </w:tc>
        <w:tc>
          <w:tcPr>
            <w:tcW w:w="1735" w:type="dxa"/>
            <w:tcBorders>
              <w:top w:val="single" w:color="auto" w:sz="6" w:space="0"/>
              <w:left w:val="single" w:color="auto" w:sz="6" w:space="0"/>
              <w:bottom w:val="single" w:color="auto" w:sz="6" w:space="0"/>
              <w:right w:val="single" w:color="auto" w:sz="6" w:space="0"/>
            </w:tcBorders>
            <w:shd w:val="clear" w:color="auto" w:fill="D7D7D7"/>
            <w:noWrap w:val="0"/>
            <w:tcMar>
              <w:top w:w="57" w:type="dxa"/>
              <w:left w:w="57" w:type="dxa"/>
              <w:bottom w:w="57" w:type="dxa"/>
              <w:right w:w="57" w:type="dxa"/>
            </w:tcMar>
            <w:vAlign w:val="center"/>
          </w:tcPr>
          <w:p>
            <w:pPr>
              <w:spacing w:line="34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商务评审内容</w:t>
            </w:r>
          </w:p>
        </w:tc>
        <w:tc>
          <w:tcPr>
            <w:tcW w:w="6144" w:type="dxa"/>
            <w:tcBorders>
              <w:top w:val="single" w:color="auto" w:sz="6" w:space="0"/>
              <w:left w:val="single" w:color="auto" w:sz="6" w:space="0"/>
              <w:bottom w:val="single" w:color="auto" w:sz="6" w:space="0"/>
              <w:right w:val="single" w:color="auto" w:sz="6" w:space="0"/>
            </w:tcBorders>
            <w:shd w:val="clear" w:color="auto" w:fill="D7D7D7"/>
            <w:noWrap w:val="0"/>
            <w:tcMar>
              <w:top w:w="57" w:type="dxa"/>
              <w:left w:w="57" w:type="dxa"/>
              <w:bottom w:w="57" w:type="dxa"/>
              <w:right w:w="57" w:type="dxa"/>
            </w:tcMar>
            <w:vAlign w:val="center"/>
          </w:tcPr>
          <w:p>
            <w:pPr>
              <w:spacing w:line="34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评分细则</w:t>
            </w:r>
          </w:p>
        </w:tc>
        <w:tc>
          <w:tcPr>
            <w:tcW w:w="707" w:type="dxa"/>
            <w:tcBorders>
              <w:top w:val="single" w:color="auto" w:sz="6" w:space="0"/>
              <w:left w:val="single" w:color="auto" w:sz="6" w:space="0"/>
              <w:bottom w:val="single" w:color="auto" w:sz="6" w:space="0"/>
              <w:right w:val="single" w:color="auto" w:sz="6" w:space="0"/>
            </w:tcBorders>
            <w:shd w:val="clear" w:color="auto" w:fill="D7D7D7"/>
            <w:noWrap w:val="0"/>
            <w:tcMar>
              <w:top w:w="57" w:type="dxa"/>
              <w:left w:w="57" w:type="dxa"/>
              <w:bottom w:w="57" w:type="dxa"/>
              <w:right w:w="57" w:type="dxa"/>
            </w:tcMar>
            <w:vAlign w:val="center"/>
          </w:tcPr>
          <w:p>
            <w:pPr>
              <w:spacing w:line="34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45"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numPr>
                <w:ilvl w:val="0"/>
                <w:numId w:val="131"/>
              </w:numPr>
              <w:spacing w:line="360" w:lineRule="exact"/>
              <w:ind w:left="600"/>
              <w:rPr>
                <w:rFonts w:hint="eastAsia" w:ascii="华文宋体" w:hAnsi="华文宋体" w:eastAsia="华文宋体" w:cs="华文宋体"/>
                <w:color w:val="auto"/>
                <w:sz w:val="23"/>
                <w:szCs w:val="23"/>
                <w:highlight w:val="none"/>
              </w:rPr>
            </w:pPr>
          </w:p>
        </w:tc>
        <w:tc>
          <w:tcPr>
            <w:tcW w:w="1735"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36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同类项目经验</w:t>
            </w:r>
          </w:p>
        </w:tc>
        <w:tc>
          <w:tcPr>
            <w:tcW w:w="6144"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36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2019年1月1日至今已完成的同类消防车维修项目业绩，每提供一份得1分，最高得8分；无或其他情况得0分。</w:t>
            </w:r>
          </w:p>
          <w:p>
            <w:pPr>
              <w:widowControl/>
              <w:spacing w:line="36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注：响应供应商提供合同关键页（含签订合同双方的单位名称、合同项目名称、项目金额与含签订合同双方的落款盖章、签订日期的关键页）复印件。</w:t>
            </w:r>
          </w:p>
        </w:tc>
        <w:tc>
          <w:tcPr>
            <w:tcW w:w="70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6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8</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45"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numPr>
                <w:ilvl w:val="0"/>
                <w:numId w:val="131"/>
              </w:numPr>
              <w:spacing w:line="360" w:lineRule="exact"/>
              <w:ind w:left="600"/>
              <w:rPr>
                <w:rFonts w:hint="eastAsia" w:ascii="华文宋体" w:hAnsi="华文宋体" w:eastAsia="华文宋体" w:cs="华文宋体"/>
                <w:color w:val="auto"/>
                <w:sz w:val="23"/>
                <w:szCs w:val="23"/>
                <w:highlight w:val="none"/>
              </w:rPr>
            </w:pPr>
          </w:p>
        </w:tc>
        <w:tc>
          <w:tcPr>
            <w:tcW w:w="1735"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36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客户反馈意见</w:t>
            </w:r>
          </w:p>
        </w:tc>
        <w:tc>
          <w:tcPr>
            <w:tcW w:w="6144"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响应供应商提供客户对车辆维修保养的反馈意见，并且客户评价结果为“满意”或“优”或对响应供应商的工作予以肯定的，或评委认可的类似好评的反馈意见，每一份得1分，最高得8分；无或其他情况得0分。</w:t>
            </w:r>
          </w:p>
          <w:p>
            <w:pPr>
              <w:widowControl/>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注：须提供客户单位的评价证明，格式自拟。</w:t>
            </w:r>
          </w:p>
        </w:tc>
        <w:tc>
          <w:tcPr>
            <w:tcW w:w="70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6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8</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45"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numPr>
                <w:ilvl w:val="0"/>
                <w:numId w:val="131"/>
              </w:numPr>
              <w:spacing w:line="360" w:lineRule="exact"/>
              <w:ind w:left="600"/>
              <w:rPr>
                <w:rFonts w:hint="eastAsia" w:ascii="华文宋体" w:hAnsi="华文宋体" w:eastAsia="华文宋体" w:cs="华文宋体"/>
                <w:color w:val="auto"/>
                <w:sz w:val="23"/>
                <w:szCs w:val="23"/>
                <w:highlight w:val="none"/>
              </w:rPr>
            </w:pPr>
          </w:p>
        </w:tc>
        <w:tc>
          <w:tcPr>
            <w:tcW w:w="1735"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60" w:lineRule="exact"/>
              <w:ind w:left="0" w:leftChars="0" w:right="0" w:rightChars="0" w:firstLine="0" w:firstLineChars="0"/>
              <w:jc w:val="center"/>
              <w:rPr>
                <w:rFonts w:hint="eastAsia" w:ascii="华文宋体" w:hAnsi="华文宋体" w:eastAsia="华文宋体" w:cs="华文宋体"/>
                <w:color w:val="auto"/>
                <w:sz w:val="23"/>
                <w:szCs w:val="23"/>
                <w:highlight w:val="none"/>
                <w:lang w:val="zh-CN"/>
              </w:rPr>
            </w:pPr>
            <w:r>
              <w:rPr>
                <w:rFonts w:hint="eastAsia" w:ascii="华文宋体" w:hAnsi="华文宋体" w:eastAsia="华文宋体" w:cs="华文宋体"/>
                <w:color w:val="auto"/>
                <w:sz w:val="23"/>
                <w:szCs w:val="23"/>
                <w:highlight w:val="none"/>
                <w:lang w:val="zh-CN"/>
              </w:rPr>
              <w:t>项目服务人员资格</w:t>
            </w:r>
          </w:p>
        </w:tc>
        <w:tc>
          <w:tcPr>
            <w:tcW w:w="6144"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投入本项目的维修人员，每提供一个高级技师（即国家职业资格一级）汽车维修工证得1.5分；每提供一个高级（国家职业资格三级）汽车维修工证或技师（国家职业资格二级）汽车维修工证得1分。本项最高得8分。</w:t>
            </w:r>
          </w:p>
          <w:p>
            <w:pPr>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注：提供①资格证书复印件与②响应供应商单位签订的劳务合同复印件。未提供或提供</w:t>
            </w:r>
            <w:r>
              <w:rPr>
                <w:rFonts w:hint="eastAsia" w:ascii="华文宋体" w:hAnsi="华文宋体" w:eastAsia="华文宋体" w:cs="华文宋体"/>
                <w:color w:val="auto"/>
                <w:sz w:val="23"/>
                <w:szCs w:val="23"/>
                <w:highlight w:val="none"/>
                <w:lang w:val="en-US" w:eastAsia="zh-CN"/>
              </w:rPr>
              <w:t>不全</w:t>
            </w:r>
            <w:r>
              <w:rPr>
                <w:rFonts w:hint="eastAsia" w:ascii="华文宋体" w:hAnsi="华文宋体" w:eastAsia="华文宋体" w:cs="华文宋体"/>
                <w:color w:val="auto"/>
                <w:sz w:val="23"/>
                <w:szCs w:val="23"/>
                <w:highlight w:val="none"/>
              </w:rPr>
              <w:t>不得分。</w:t>
            </w:r>
          </w:p>
        </w:tc>
        <w:tc>
          <w:tcPr>
            <w:tcW w:w="70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6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8</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00" w:hRule="atLeast"/>
        </w:trPr>
        <w:tc>
          <w:tcPr>
            <w:tcW w:w="645" w:type="dxa"/>
            <w:tcBorders>
              <w:top w:val="single" w:color="auto" w:sz="4" w:space="0"/>
              <w:left w:val="single" w:color="auto" w:sz="4" w:space="0"/>
              <w:right w:val="single" w:color="auto" w:sz="4" w:space="0"/>
            </w:tcBorders>
            <w:noWrap w:val="0"/>
            <w:tcMar>
              <w:top w:w="57" w:type="dxa"/>
              <w:left w:w="57" w:type="dxa"/>
              <w:bottom w:w="57" w:type="dxa"/>
              <w:right w:w="57" w:type="dxa"/>
            </w:tcMar>
            <w:vAlign w:val="center"/>
          </w:tcPr>
          <w:p>
            <w:pPr>
              <w:numPr>
                <w:ilvl w:val="0"/>
                <w:numId w:val="131"/>
              </w:numPr>
              <w:spacing w:line="360" w:lineRule="exact"/>
              <w:ind w:left="600"/>
              <w:rPr>
                <w:rFonts w:hint="eastAsia" w:ascii="华文宋体" w:hAnsi="华文宋体" w:eastAsia="华文宋体" w:cs="华文宋体"/>
                <w:color w:val="auto"/>
                <w:sz w:val="23"/>
                <w:szCs w:val="23"/>
                <w:highlight w:val="none"/>
              </w:rPr>
            </w:pPr>
          </w:p>
        </w:tc>
        <w:tc>
          <w:tcPr>
            <w:tcW w:w="1735" w:type="dxa"/>
            <w:tcBorders>
              <w:top w:val="single" w:color="auto" w:sz="4" w:space="0"/>
              <w:left w:val="single" w:color="auto" w:sz="4" w:space="0"/>
              <w:right w:val="single" w:color="auto" w:sz="4" w:space="0"/>
            </w:tcBorders>
            <w:noWrap w:val="0"/>
            <w:tcMar>
              <w:top w:w="57" w:type="dxa"/>
              <w:left w:w="57" w:type="dxa"/>
              <w:bottom w:w="57" w:type="dxa"/>
              <w:right w:w="57" w:type="dxa"/>
            </w:tcMar>
            <w:vAlign w:val="center"/>
          </w:tcPr>
          <w:p>
            <w:pPr>
              <w:spacing w:line="360" w:lineRule="exact"/>
              <w:ind w:left="0" w:leftChars="0" w:right="0" w:rightChars="0" w:firstLine="0" w:firstLineChars="0"/>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color w:val="auto"/>
                <w:kern w:val="0"/>
                <w:sz w:val="23"/>
                <w:szCs w:val="23"/>
                <w:highlight w:val="none"/>
              </w:rPr>
              <w:t>投入人员证书</w:t>
            </w:r>
          </w:p>
        </w:tc>
        <w:tc>
          <w:tcPr>
            <w:tcW w:w="6144"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60" w:lineRule="exact"/>
              <w:jc w:val="left"/>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响应供应商拟投入本项目的人员参加过安全生产教育，通过企业班组长岗位安全知识考试合格并且获得相关机构颁发的证书得4分。</w:t>
            </w:r>
          </w:p>
          <w:p>
            <w:pPr>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bCs/>
                <w:color w:val="auto"/>
                <w:sz w:val="23"/>
                <w:szCs w:val="23"/>
                <w:highlight w:val="none"/>
              </w:rPr>
              <w:t>注：提供相关证书复印件及劳务合同复印件。</w:t>
            </w:r>
            <w:r>
              <w:rPr>
                <w:rFonts w:hint="eastAsia" w:ascii="华文宋体" w:hAnsi="华文宋体" w:eastAsia="华文宋体" w:cs="华文宋体"/>
                <w:color w:val="auto"/>
                <w:sz w:val="23"/>
                <w:szCs w:val="23"/>
                <w:highlight w:val="none"/>
              </w:rPr>
              <w:t>未提供或提供</w:t>
            </w:r>
            <w:r>
              <w:rPr>
                <w:rFonts w:hint="eastAsia" w:ascii="华文宋体" w:hAnsi="华文宋体" w:eastAsia="华文宋体" w:cs="华文宋体"/>
                <w:color w:val="auto"/>
                <w:sz w:val="23"/>
                <w:szCs w:val="23"/>
                <w:highlight w:val="none"/>
                <w:lang w:val="en-US" w:eastAsia="zh-CN"/>
              </w:rPr>
              <w:t>不全</w:t>
            </w:r>
            <w:r>
              <w:rPr>
                <w:rFonts w:hint="eastAsia" w:ascii="华文宋体" w:hAnsi="华文宋体" w:eastAsia="华文宋体" w:cs="华文宋体"/>
                <w:color w:val="auto"/>
                <w:sz w:val="23"/>
                <w:szCs w:val="23"/>
                <w:highlight w:val="none"/>
              </w:rPr>
              <w:t>不得分</w:t>
            </w:r>
            <w:r>
              <w:rPr>
                <w:rFonts w:hint="eastAsia" w:ascii="华文宋体" w:hAnsi="华文宋体" w:eastAsia="华文宋体" w:cs="华文宋体"/>
                <w:bCs/>
                <w:color w:val="auto"/>
                <w:sz w:val="23"/>
                <w:szCs w:val="23"/>
                <w:highlight w:val="none"/>
              </w:rPr>
              <w:t>。</w:t>
            </w:r>
          </w:p>
        </w:tc>
        <w:tc>
          <w:tcPr>
            <w:tcW w:w="707" w:type="dxa"/>
            <w:tcBorders>
              <w:top w:val="single" w:color="auto" w:sz="4" w:space="0"/>
              <w:left w:val="single" w:color="auto" w:sz="4" w:space="0"/>
              <w:right w:val="single" w:color="auto" w:sz="4" w:space="0"/>
            </w:tcBorders>
            <w:noWrap w:val="0"/>
            <w:tcMar>
              <w:top w:w="57" w:type="dxa"/>
              <w:left w:w="57" w:type="dxa"/>
              <w:bottom w:w="57" w:type="dxa"/>
              <w:right w:w="57" w:type="dxa"/>
            </w:tcMar>
            <w:vAlign w:val="center"/>
          </w:tcPr>
          <w:p>
            <w:pPr>
              <w:spacing w:line="36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4</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45"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numPr>
                <w:ilvl w:val="0"/>
                <w:numId w:val="131"/>
              </w:numPr>
              <w:spacing w:line="360" w:lineRule="exact"/>
              <w:ind w:left="600"/>
              <w:rPr>
                <w:rFonts w:hint="eastAsia" w:ascii="华文宋体" w:hAnsi="华文宋体" w:eastAsia="华文宋体" w:cs="华文宋体"/>
                <w:color w:val="auto"/>
                <w:sz w:val="23"/>
                <w:szCs w:val="23"/>
                <w:highlight w:val="none"/>
              </w:rPr>
            </w:pPr>
          </w:p>
        </w:tc>
        <w:tc>
          <w:tcPr>
            <w:tcW w:w="1735"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6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车辆检修设备</w:t>
            </w:r>
          </w:p>
        </w:tc>
        <w:tc>
          <w:tcPr>
            <w:tcW w:w="6144"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tabs>
                <w:tab w:val="left" w:pos="0"/>
              </w:tabs>
              <w:spacing w:line="36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1、设施设备：压力机、折弯机、钻床、剪板机。</w:t>
            </w:r>
          </w:p>
          <w:p>
            <w:pPr>
              <w:tabs>
                <w:tab w:val="left" w:pos="0"/>
              </w:tabs>
              <w:spacing w:line="36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2、消防上装专用检测设备：液压试验设备、超声波水流量检测仪、消防栓出水压力检测设备。</w:t>
            </w:r>
          </w:p>
          <w:p>
            <w:pPr>
              <w:tabs>
                <w:tab w:val="left" w:pos="0"/>
              </w:tabs>
              <w:spacing w:line="36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3、车辆电脑检测仪。</w:t>
            </w:r>
          </w:p>
          <w:p>
            <w:pPr>
              <w:tabs>
                <w:tab w:val="left" w:pos="0"/>
              </w:tabs>
              <w:spacing w:line="36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注:根据响应供应商是否具备以上车辆检修设备进行评分，需提供设备发票复印件及设备照片作为评审依据。上述仪器设备种类齐全得满分，每缺少一种设备扣1.5分，扣至0分为止。未提供或提供</w:t>
            </w:r>
            <w:r>
              <w:rPr>
                <w:rFonts w:hint="eastAsia" w:ascii="华文宋体" w:hAnsi="华文宋体" w:eastAsia="华文宋体" w:cs="华文宋体"/>
                <w:color w:val="auto"/>
                <w:sz w:val="23"/>
                <w:szCs w:val="23"/>
                <w:highlight w:val="none"/>
                <w:lang w:val="en-US" w:eastAsia="zh-CN"/>
              </w:rPr>
              <w:t>不全</w:t>
            </w:r>
            <w:r>
              <w:rPr>
                <w:rFonts w:hint="eastAsia" w:ascii="华文宋体" w:hAnsi="华文宋体" w:eastAsia="华文宋体" w:cs="华文宋体"/>
                <w:color w:val="auto"/>
                <w:sz w:val="23"/>
                <w:szCs w:val="23"/>
                <w:highlight w:val="none"/>
              </w:rPr>
              <w:t>不得分。</w:t>
            </w:r>
          </w:p>
        </w:tc>
        <w:tc>
          <w:tcPr>
            <w:tcW w:w="70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6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12</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2380" w:type="dxa"/>
            <w:gridSpan w:val="2"/>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pPr>
              <w:spacing w:line="36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分值小计</w:t>
            </w:r>
          </w:p>
        </w:tc>
        <w:tc>
          <w:tcPr>
            <w:tcW w:w="614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pPr>
              <w:spacing w:line="360" w:lineRule="exact"/>
              <w:jc w:val="left"/>
              <w:rPr>
                <w:rFonts w:hint="eastAsia" w:ascii="华文宋体" w:hAnsi="华文宋体" w:eastAsia="华文宋体" w:cs="华文宋体"/>
                <w:color w:val="auto"/>
                <w:sz w:val="23"/>
                <w:szCs w:val="23"/>
                <w:highlight w:val="none"/>
              </w:rPr>
            </w:pPr>
          </w:p>
        </w:tc>
        <w:tc>
          <w:tcPr>
            <w:tcW w:w="707"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pPr>
              <w:spacing w:line="36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40</w:t>
            </w:r>
          </w:p>
        </w:tc>
      </w:tr>
      <w:bookmarkEnd w:id="102"/>
    </w:tbl>
    <w:p>
      <w:pPr>
        <w:pStyle w:val="8"/>
        <w:spacing w:before="120" w:beforeLines="50" w:after="240" w:afterLines="100"/>
        <w:ind w:firstLine="0"/>
        <w:jc w:val="center"/>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t>2.技术评审因素（50分）</w:t>
      </w:r>
    </w:p>
    <w:tbl>
      <w:tblPr>
        <w:tblStyle w:val="30"/>
        <w:tblW w:w="9229"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45"/>
        <w:gridCol w:w="1750"/>
        <w:gridCol w:w="6273"/>
        <w:gridCol w:w="66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5" w:hRule="atLeast"/>
          <w:tblHeader/>
          <w:jc w:val="center"/>
        </w:trPr>
        <w:tc>
          <w:tcPr>
            <w:tcW w:w="545" w:type="dxa"/>
            <w:tcBorders>
              <w:top w:val="single" w:color="auto" w:sz="6" w:space="0"/>
              <w:left w:val="single" w:color="auto" w:sz="6" w:space="0"/>
              <w:bottom w:val="single" w:color="000000" w:sz="2" w:space="0"/>
              <w:right w:val="single" w:color="auto" w:sz="6" w:space="0"/>
            </w:tcBorders>
            <w:shd w:val="clear" w:color="auto" w:fill="D7D7D7"/>
            <w:noWrap w:val="0"/>
            <w:vAlign w:val="center"/>
          </w:tcPr>
          <w:p>
            <w:pPr>
              <w:spacing w:line="370" w:lineRule="exact"/>
              <w:ind w:left="-90" w:leftChars="-50" w:right="-90" w:rightChars="-50"/>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序号</w:t>
            </w:r>
          </w:p>
        </w:tc>
        <w:tc>
          <w:tcPr>
            <w:tcW w:w="1750" w:type="dxa"/>
            <w:tcBorders>
              <w:top w:val="single" w:color="auto" w:sz="6" w:space="0"/>
              <w:left w:val="single" w:color="auto" w:sz="6" w:space="0"/>
              <w:bottom w:val="single" w:color="000000" w:sz="2" w:space="0"/>
              <w:right w:val="single" w:color="auto" w:sz="6" w:space="0"/>
            </w:tcBorders>
            <w:shd w:val="clear" w:color="auto" w:fill="D7D7D7"/>
            <w:noWrap w:val="0"/>
            <w:vAlign w:val="center"/>
          </w:tcPr>
          <w:p>
            <w:pPr>
              <w:spacing w:line="37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技术评审内容</w:t>
            </w:r>
          </w:p>
        </w:tc>
        <w:tc>
          <w:tcPr>
            <w:tcW w:w="6273" w:type="dxa"/>
            <w:tcBorders>
              <w:top w:val="single" w:color="auto" w:sz="6" w:space="0"/>
              <w:left w:val="single" w:color="auto" w:sz="6" w:space="0"/>
              <w:bottom w:val="single" w:color="000000" w:sz="2" w:space="0"/>
              <w:right w:val="single" w:color="auto" w:sz="6" w:space="0"/>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370" w:lineRule="exact"/>
              <w:ind w:left="36" w:leftChars="20" w:right="36" w:rightChars="20"/>
              <w:jc w:val="center"/>
              <w:textAlignment w:val="auto"/>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评分细则</w:t>
            </w:r>
          </w:p>
        </w:tc>
        <w:tc>
          <w:tcPr>
            <w:tcW w:w="661" w:type="dxa"/>
            <w:tcBorders>
              <w:top w:val="single" w:color="auto" w:sz="6" w:space="0"/>
              <w:left w:val="single" w:color="auto" w:sz="6" w:space="0"/>
              <w:bottom w:val="single" w:color="000000" w:sz="2" w:space="0"/>
              <w:right w:val="single" w:color="auto" w:sz="6" w:space="0"/>
            </w:tcBorders>
            <w:shd w:val="clear" w:color="auto" w:fill="D7D7D7"/>
            <w:noWrap w:val="0"/>
            <w:vAlign w:val="center"/>
          </w:tcPr>
          <w:p>
            <w:pPr>
              <w:spacing w:line="37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4" w:hRule="atLeast"/>
          <w:jc w:val="center"/>
        </w:trPr>
        <w:tc>
          <w:tcPr>
            <w:tcW w:w="545" w:type="dxa"/>
            <w:tcBorders>
              <w:top w:val="single" w:color="000000" w:sz="2" w:space="0"/>
              <w:left w:val="single" w:color="000000" w:sz="2" w:space="0"/>
              <w:bottom w:val="single" w:color="000000" w:sz="2" w:space="0"/>
              <w:right w:val="single" w:color="000000" w:sz="2" w:space="0"/>
            </w:tcBorders>
            <w:noWrap w:val="0"/>
            <w:vAlign w:val="center"/>
          </w:tcPr>
          <w:p>
            <w:pPr>
              <w:numPr>
                <w:ilvl w:val="0"/>
                <w:numId w:val="132"/>
              </w:numPr>
              <w:spacing w:line="350" w:lineRule="exact"/>
              <w:ind w:left="0" w:firstLine="0"/>
              <w:jc w:val="right"/>
              <w:rPr>
                <w:rFonts w:hint="eastAsia" w:ascii="华文宋体" w:hAnsi="华文宋体" w:eastAsia="华文宋体" w:cs="华文宋体"/>
                <w:color w:val="auto"/>
                <w:sz w:val="23"/>
                <w:szCs w:val="23"/>
                <w:highlight w:val="none"/>
              </w:rPr>
            </w:pPr>
          </w:p>
        </w:tc>
        <w:tc>
          <w:tcPr>
            <w:tcW w:w="1750"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380" w:lineRule="exact"/>
              <w:ind w:left="27" w:leftChars="15" w:right="27" w:rightChars="15"/>
              <w:jc w:val="center"/>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lang w:bidi="ar"/>
              </w:rPr>
              <w:t>总体服务方案</w:t>
            </w:r>
          </w:p>
        </w:tc>
        <w:tc>
          <w:tcPr>
            <w:tcW w:w="62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sz w:val="23"/>
                <w:szCs w:val="23"/>
                <w:highlight w:val="none"/>
              </w:rPr>
              <w:t>响应供应商针对本项目总体服务的完善程度和保障措施等进行评审：</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kern w:val="0"/>
                <w:sz w:val="23"/>
                <w:szCs w:val="23"/>
                <w:highlight w:val="none"/>
              </w:rPr>
            </w:pPr>
            <w:r>
              <w:rPr>
                <w:rFonts w:hint="eastAsia" w:ascii="华文宋体" w:hAnsi="华文宋体" w:cs="华文宋体"/>
                <w:color w:val="auto"/>
                <w:kern w:val="0"/>
                <w:sz w:val="23"/>
                <w:szCs w:val="23"/>
                <w:highlight w:val="none"/>
                <w:lang w:val="en-US" w:eastAsia="zh-CN"/>
              </w:rPr>
              <w:t>1、</w:t>
            </w:r>
            <w:r>
              <w:rPr>
                <w:rFonts w:hint="eastAsia" w:ascii="华文宋体" w:hAnsi="华文宋体" w:eastAsia="华文宋体" w:cs="华文宋体"/>
                <w:color w:val="auto"/>
                <w:kern w:val="0"/>
                <w:sz w:val="23"/>
                <w:szCs w:val="23"/>
                <w:highlight w:val="none"/>
              </w:rPr>
              <w:t>总体服务方案非常详细，可行性强，得12分；</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kern w:val="0"/>
                <w:sz w:val="23"/>
                <w:szCs w:val="23"/>
                <w:highlight w:val="none"/>
              </w:rPr>
            </w:pPr>
            <w:r>
              <w:rPr>
                <w:rFonts w:hint="eastAsia" w:ascii="华文宋体" w:hAnsi="华文宋体" w:cs="华文宋体"/>
                <w:color w:val="auto"/>
                <w:kern w:val="0"/>
                <w:sz w:val="23"/>
                <w:szCs w:val="23"/>
                <w:highlight w:val="none"/>
                <w:lang w:val="en-US" w:eastAsia="zh-CN"/>
              </w:rPr>
              <w:t>2、</w:t>
            </w:r>
            <w:r>
              <w:rPr>
                <w:rFonts w:hint="eastAsia" w:ascii="华文宋体" w:hAnsi="华文宋体" w:eastAsia="华文宋体" w:cs="华文宋体"/>
                <w:color w:val="auto"/>
                <w:kern w:val="0"/>
                <w:sz w:val="23"/>
                <w:szCs w:val="23"/>
                <w:highlight w:val="none"/>
              </w:rPr>
              <w:t>总体服务方案比较详细、可行性比较强，得7分；</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kern w:val="0"/>
                <w:sz w:val="23"/>
                <w:szCs w:val="23"/>
                <w:highlight w:val="none"/>
              </w:rPr>
            </w:pPr>
            <w:r>
              <w:rPr>
                <w:rFonts w:hint="eastAsia" w:ascii="华文宋体" w:hAnsi="华文宋体" w:cs="华文宋体"/>
                <w:color w:val="auto"/>
                <w:kern w:val="0"/>
                <w:sz w:val="23"/>
                <w:szCs w:val="23"/>
                <w:highlight w:val="none"/>
                <w:lang w:val="en-US" w:eastAsia="zh-CN"/>
              </w:rPr>
              <w:t>3、</w:t>
            </w:r>
            <w:r>
              <w:rPr>
                <w:rFonts w:hint="eastAsia" w:ascii="华文宋体" w:hAnsi="华文宋体" w:eastAsia="华文宋体" w:cs="华文宋体"/>
                <w:color w:val="auto"/>
                <w:kern w:val="0"/>
                <w:sz w:val="23"/>
                <w:szCs w:val="23"/>
                <w:highlight w:val="none"/>
              </w:rPr>
              <w:t>总体服务方案基本详细，可行性一般，得3分；</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kern w:val="0"/>
                <w:sz w:val="23"/>
                <w:szCs w:val="23"/>
                <w:highlight w:val="none"/>
              </w:rPr>
            </w:pPr>
            <w:r>
              <w:rPr>
                <w:rFonts w:hint="eastAsia" w:ascii="华文宋体" w:hAnsi="华文宋体" w:cs="华文宋体"/>
                <w:color w:val="auto"/>
                <w:kern w:val="0"/>
                <w:sz w:val="23"/>
                <w:szCs w:val="23"/>
                <w:highlight w:val="none"/>
                <w:lang w:val="en-US" w:eastAsia="zh-CN"/>
              </w:rPr>
              <w:t>4、</w:t>
            </w:r>
            <w:r>
              <w:rPr>
                <w:rFonts w:hint="eastAsia" w:ascii="华文宋体" w:hAnsi="华文宋体" w:eastAsia="华文宋体" w:cs="华文宋体"/>
                <w:color w:val="auto"/>
                <w:kern w:val="0"/>
                <w:sz w:val="23"/>
                <w:szCs w:val="23"/>
                <w:highlight w:val="none"/>
              </w:rPr>
              <w:t>未提供总体服务方案得0分。</w:t>
            </w:r>
          </w:p>
        </w:tc>
        <w:tc>
          <w:tcPr>
            <w:tcW w:w="661" w:type="dxa"/>
            <w:tcBorders>
              <w:top w:val="single" w:color="000000" w:sz="2" w:space="0"/>
              <w:left w:val="single" w:color="000000" w:sz="2" w:space="0"/>
              <w:bottom w:val="single" w:color="000000" w:sz="2" w:space="0"/>
              <w:right w:val="single" w:color="000000" w:sz="2" w:space="0"/>
            </w:tcBorders>
            <w:noWrap w:val="0"/>
            <w:vAlign w:val="center"/>
          </w:tcPr>
          <w:p>
            <w:pPr>
              <w:widowControl/>
              <w:spacing w:line="380" w:lineRule="exact"/>
              <w:ind w:left="27" w:leftChars="15" w:right="27" w:rightChars="1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kern w:val="0"/>
                <w:sz w:val="23"/>
                <w:szCs w:val="23"/>
                <w:highlight w:val="none"/>
              </w:rPr>
              <w:t>12</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085" w:hRule="atLeast"/>
          <w:jc w:val="center"/>
        </w:trPr>
        <w:tc>
          <w:tcPr>
            <w:tcW w:w="545" w:type="dxa"/>
            <w:tcBorders>
              <w:top w:val="single" w:color="000000" w:sz="2" w:space="0"/>
              <w:left w:val="single" w:color="000000" w:sz="2" w:space="0"/>
              <w:bottom w:val="single" w:color="000000" w:sz="2" w:space="0"/>
              <w:right w:val="single" w:color="000000" w:sz="2" w:space="0"/>
            </w:tcBorders>
            <w:noWrap w:val="0"/>
            <w:vAlign w:val="center"/>
          </w:tcPr>
          <w:p>
            <w:pPr>
              <w:numPr>
                <w:ilvl w:val="0"/>
                <w:numId w:val="132"/>
              </w:numPr>
              <w:spacing w:line="350" w:lineRule="exact"/>
              <w:ind w:left="0" w:firstLine="0"/>
              <w:jc w:val="right"/>
              <w:rPr>
                <w:rFonts w:hint="eastAsia" w:ascii="华文宋体" w:hAnsi="华文宋体" w:eastAsia="华文宋体" w:cs="华文宋体"/>
                <w:color w:val="auto"/>
                <w:sz w:val="23"/>
                <w:szCs w:val="23"/>
                <w:highlight w:val="none"/>
              </w:rPr>
            </w:pPr>
          </w:p>
        </w:tc>
        <w:tc>
          <w:tcPr>
            <w:tcW w:w="1750" w:type="dxa"/>
            <w:tcBorders>
              <w:top w:val="single" w:color="000000" w:sz="2" w:space="0"/>
              <w:left w:val="single" w:color="000000" w:sz="2" w:space="0"/>
              <w:bottom w:val="single" w:color="000000" w:sz="2" w:space="0"/>
              <w:right w:val="single" w:color="000000" w:sz="2" w:space="0"/>
            </w:tcBorders>
            <w:noWrap w:val="0"/>
            <w:vAlign w:val="center"/>
          </w:tcPr>
          <w:p>
            <w:pPr>
              <w:spacing w:line="350" w:lineRule="exact"/>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质量保证措施和售后服务方案</w:t>
            </w:r>
          </w:p>
        </w:tc>
        <w:tc>
          <w:tcPr>
            <w:tcW w:w="62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35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响应供应商针对本项目服务质量保证措施、售后服务的完善程度和保障措施等进行评审：</w:t>
            </w:r>
          </w:p>
          <w:p>
            <w:pPr>
              <w:keepNext w:val="0"/>
              <w:keepLines w:val="0"/>
              <w:pageBreakBefore w:val="0"/>
              <w:kinsoku/>
              <w:wordWrap/>
              <w:overflowPunct/>
              <w:topLinePunct w:val="0"/>
              <w:autoSpaceDE/>
              <w:autoSpaceDN/>
              <w:bidi w:val="0"/>
              <w:adjustRightInd/>
              <w:snapToGrid/>
              <w:spacing w:line="35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1、</w:t>
            </w:r>
            <w:r>
              <w:rPr>
                <w:rFonts w:hint="eastAsia" w:ascii="华文宋体" w:hAnsi="华文宋体" w:eastAsia="华文宋体" w:cs="华文宋体"/>
                <w:color w:val="auto"/>
                <w:sz w:val="23"/>
                <w:szCs w:val="23"/>
                <w:highlight w:val="none"/>
              </w:rPr>
              <w:t>质量保证措施有力、完善，且具有良好的售后服务体系和服务方案得10分；</w:t>
            </w:r>
          </w:p>
          <w:p>
            <w:pPr>
              <w:keepNext w:val="0"/>
              <w:keepLines w:val="0"/>
              <w:pageBreakBefore w:val="0"/>
              <w:kinsoku/>
              <w:wordWrap/>
              <w:overflowPunct/>
              <w:topLinePunct w:val="0"/>
              <w:autoSpaceDE/>
              <w:autoSpaceDN/>
              <w:bidi w:val="0"/>
              <w:adjustRightInd/>
              <w:snapToGrid/>
              <w:spacing w:line="35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2、</w:t>
            </w:r>
            <w:r>
              <w:rPr>
                <w:rFonts w:hint="eastAsia" w:ascii="华文宋体" w:hAnsi="华文宋体" w:eastAsia="华文宋体" w:cs="华文宋体"/>
                <w:color w:val="auto"/>
                <w:sz w:val="23"/>
                <w:szCs w:val="23"/>
                <w:highlight w:val="none"/>
              </w:rPr>
              <w:t>质量保证措施、售后服务体系和服务方案基本满足需求得5分；</w:t>
            </w:r>
          </w:p>
          <w:p>
            <w:pPr>
              <w:keepNext w:val="0"/>
              <w:keepLines w:val="0"/>
              <w:pageBreakBefore w:val="0"/>
              <w:kinsoku/>
              <w:wordWrap/>
              <w:overflowPunct/>
              <w:topLinePunct w:val="0"/>
              <w:autoSpaceDE/>
              <w:autoSpaceDN/>
              <w:bidi w:val="0"/>
              <w:adjustRightInd/>
              <w:snapToGrid/>
              <w:spacing w:line="35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3、</w:t>
            </w:r>
            <w:r>
              <w:rPr>
                <w:rFonts w:hint="eastAsia" w:ascii="华文宋体" w:hAnsi="华文宋体" w:eastAsia="华文宋体" w:cs="华文宋体"/>
                <w:color w:val="auto"/>
                <w:sz w:val="23"/>
                <w:szCs w:val="23"/>
                <w:highlight w:val="none"/>
              </w:rPr>
              <w:t>质量保证措施、售后服务体系和服务方案一般、相对简单得1分；</w:t>
            </w:r>
          </w:p>
          <w:p>
            <w:pPr>
              <w:keepNext w:val="0"/>
              <w:keepLines w:val="0"/>
              <w:pageBreakBefore w:val="0"/>
              <w:kinsoku/>
              <w:wordWrap/>
              <w:overflowPunct/>
              <w:topLinePunct w:val="0"/>
              <w:autoSpaceDE/>
              <w:autoSpaceDN/>
              <w:bidi w:val="0"/>
              <w:adjustRightInd/>
              <w:snapToGrid/>
              <w:spacing w:line="35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4、</w:t>
            </w:r>
            <w:r>
              <w:rPr>
                <w:rFonts w:hint="eastAsia" w:ascii="华文宋体" w:hAnsi="华文宋体" w:eastAsia="华文宋体" w:cs="华文宋体"/>
                <w:color w:val="auto"/>
                <w:sz w:val="23"/>
                <w:szCs w:val="23"/>
                <w:highlight w:val="none"/>
              </w:rPr>
              <w:t>未提供售后服务方案得0分。</w:t>
            </w:r>
          </w:p>
        </w:tc>
        <w:tc>
          <w:tcPr>
            <w:tcW w:w="661" w:type="dxa"/>
            <w:tcBorders>
              <w:top w:val="single" w:color="000000" w:sz="2" w:space="0"/>
              <w:left w:val="single" w:color="000000" w:sz="2" w:space="0"/>
              <w:bottom w:val="single" w:color="000000" w:sz="2" w:space="0"/>
              <w:right w:val="single" w:color="000000" w:sz="2" w:space="0"/>
            </w:tcBorders>
            <w:noWrap w:val="0"/>
            <w:vAlign w:val="center"/>
          </w:tcPr>
          <w:p>
            <w:pPr>
              <w:spacing w:line="35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63" w:hRule="atLeast"/>
          <w:jc w:val="center"/>
        </w:trPr>
        <w:tc>
          <w:tcPr>
            <w:tcW w:w="545" w:type="dxa"/>
            <w:tcBorders>
              <w:top w:val="single" w:color="000000" w:sz="2" w:space="0"/>
              <w:left w:val="single" w:color="000000" w:sz="2" w:space="0"/>
              <w:bottom w:val="single" w:color="000000" w:sz="2" w:space="0"/>
              <w:right w:val="single" w:color="000000" w:sz="2" w:space="0"/>
            </w:tcBorders>
            <w:noWrap w:val="0"/>
            <w:vAlign w:val="center"/>
          </w:tcPr>
          <w:p>
            <w:pPr>
              <w:numPr>
                <w:ilvl w:val="0"/>
                <w:numId w:val="132"/>
              </w:numPr>
              <w:spacing w:line="350" w:lineRule="exact"/>
              <w:ind w:left="0" w:firstLine="0"/>
              <w:jc w:val="right"/>
              <w:rPr>
                <w:rFonts w:hint="eastAsia" w:ascii="华文宋体" w:hAnsi="华文宋体" w:eastAsia="华文宋体" w:cs="华文宋体"/>
                <w:color w:val="auto"/>
                <w:sz w:val="23"/>
                <w:szCs w:val="23"/>
                <w:highlight w:val="none"/>
              </w:rPr>
            </w:pPr>
          </w:p>
        </w:tc>
        <w:tc>
          <w:tcPr>
            <w:tcW w:w="1750" w:type="dxa"/>
            <w:tcBorders>
              <w:top w:val="single" w:color="000000" w:sz="2" w:space="0"/>
              <w:left w:val="single" w:color="000000" w:sz="2" w:space="0"/>
              <w:bottom w:val="single" w:color="000000" w:sz="2" w:space="0"/>
              <w:right w:val="single" w:color="000000" w:sz="2" w:space="0"/>
            </w:tcBorders>
            <w:noWrap w:val="0"/>
            <w:vAlign w:val="center"/>
          </w:tcPr>
          <w:p>
            <w:pPr>
              <w:spacing w:line="350" w:lineRule="exact"/>
              <w:ind w:left="18" w:leftChars="10" w:right="18" w:rightChars="10"/>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管理规章制度</w:t>
            </w:r>
          </w:p>
        </w:tc>
        <w:tc>
          <w:tcPr>
            <w:tcW w:w="62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响应供应商针对本项目管理规章制度（包括但不限于组织体系及机构设置、管理规章制度、流程规定等）的完善程度和保障措施等进行评审：</w:t>
            </w:r>
          </w:p>
          <w:p>
            <w:pPr>
              <w:keepNext w:val="0"/>
              <w:keepLines w:val="0"/>
              <w:pageBreakBefore w:val="0"/>
              <w:numPr>
                <w:ilvl w:val="0"/>
                <w:numId w:val="0"/>
              </w:numPr>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1、</w:t>
            </w:r>
            <w:r>
              <w:rPr>
                <w:rFonts w:hint="eastAsia" w:ascii="华文宋体" w:hAnsi="华文宋体" w:eastAsia="华文宋体" w:cs="华文宋体"/>
                <w:color w:val="auto"/>
                <w:sz w:val="23"/>
                <w:szCs w:val="23"/>
                <w:highlight w:val="none"/>
              </w:rPr>
              <w:t>根据各响应供应商的管理规章制度健全性、科学性进行评审：</w:t>
            </w:r>
          </w:p>
          <w:p>
            <w:pPr>
              <w:keepNext w:val="0"/>
              <w:keepLines w:val="0"/>
              <w:pageBreakBefore w:val="0"/>
              <w:numPr>
                <w:ilvl w:val="0"/>
                <w:numId w:val="0"/>
              </w:numPr>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2、</w:t>
            </w:r>
            <w:r>
              <w:rPr>
                <w:rFonts w:hint="eastAsia" w:ascii="华文宋体" w:hAnsi="华文宋体" w:eastAsia="华文宋体" w:cs="华文宋体"/>
                <w:color w:val="auto"/>
                <w:sz w:val="23"/>
                <w:szCs w:val="23"/>
                <w:highlight w:val="none"/>
              </w:rPr>
              <w:t>管理规章制度健全、具科学性，得10分；</w:t>
            </w:r>
          </w:p>
          <w:p>
            <w:pPr>
              <w:keepNext w:val="0"/>
              <w:keepLines w:val="0"/>
              <w:pageBreakBefore w:val="0"/>
              <w:numPr>
                <w:ilvl w:val="0"/>
                <w:numId w:val="0"/>
              </w:numPr>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3、</w:t>
            </w:r>
            <w:r>
              <w:rPr>
                <w:rFonts w:hint="eastAsia" w:ascii="华文宋体" w:hAnsi="华文宋体" w:eastAsia="华文宋体" w:cs="华文宋体"/>
                <w:color w:val="auto"/>
                <w:sz w:val="23"/>
                <w:szCs w:val="23"/>
                <w:highlight w:val="none"/>
              </w:rPr>
              <w:t>管理规章制度比较健全、较具科学性得5分；</w:t>
            </w:r>
          </w:p>
          <w:p>
            <w:pPr>
              <w:keepNext w:val="0"/>
              <w:keepLines w:val="0"/>
              <w:pageBreakBefore w:val="0"/>
              <w:numPr>
                <w:ilvl w:val="0"/>
                <w:numId w:val="0"/>
              </w:numPr>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4、</w:t>
            </w:r>
            <w:r>
              <w:rPr>
                <w:rFonts w:hint="eastAsia" w:ascii="华文宋体" w:hAnsi="华文宋体" w:eastAsia="华文宋体" w:cs="华文宋体"/>
                <w:color w:val="auto"/>
                <w:sz w:val="23"/>
                <w:szCs w:val="23"/>
                <w:highlight w:val="none"/>
              </w:rPr>
              <w:t>管理规章制度基本健全、基本具科学性得1分。</w:t>
            </w:r>
          </w:p>
          <w:p>
            <w:pPr>
              <w:keepNext w:val="0"/>
              <w:keepLines w:val="0"/>
              <w:pageBreakBefore w:val="0"/>
              <w:numPr>
                <w:ilvl w:val="0"/>
                <w:numId w:val="0"/>
              </w:numPr>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5、</w:t>
            </w:r>
            <w:r>
              <w:rPr>
                <w:rFonts w:hint="eastAsia" w:ascii="华文宋体" w:hAnsi="华文宋体" w:eastAsia="华文宋体" w:cs="华文宋体"/>
                <w:color w:val="auto"/>
                <w:sz w:val="23"/>
                <w:szCs w:val="23"/>
                <w:highlight w:val="none"/>
              </w:rPr>
              <w:t>无或其他情况得0分。</w:t>
            </w:r>
          </w:p>
        </w:tc>
        <w:tc>
          <w:tcPr>
            <w:tcW w:w="661" w:type="dxa"/>
            <w:tcBorders>
              <w:top w:val="single" w:color="000000" w:sz="2" w:space="0"/>
              <w:left w:val="single" w:color="000000" w:sz="2" w:space="0"/>
              <w:bottom w:val="single" w:color="000000" w:sz="2" w:space="0"/>
              <w:right w:val="single" w:color="000000" w:sz="2" w:space="0"/>
            </w:tcBorders>
            <w:noWrap w:val="0"/>
            <w:vAlign w:val="center"/>
          </w:tcPr>
          <w:p>
            <w:pPr>
              <w:spacing w:line="35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32" w:hRule="atLeast"/>
          <w:jc w:val="center"/>
        </w:trPr>
        <w:tc>
          <w:tcPr>
            <w:tcW w:w="545" w:type="dxa"/>
            <w:tcBorders>
              <w:top w:val="single" w:color="000000" w:sz="2" w:space="0"/>
              <w:left w:val="single" w:color="000000" w:sz="2" w:space="0"/>
              <w:bottom w:val="single" w:color="000000" w:sz="2" w:space="0"/>
              <w:right w:val="single" w:color="000000" w:sz="2" w:space="0"/>
            </w:tcBorders>
            <w:noWrap w:val="0"/>
            <w:vAlign w:val="center"/>
          </w:tcPr>
          <w:p>
            <w:pPr>
              <w:numPr>
                <w:ilvl w:val="0"/>
                <w:numId w:val="132"/>
              </w:numPr>
              <w:spacing w:line="350" w:lineRule="exact"/>
              <w:ind w:left="0" w:firstLine="0"/>
              <w:jc w:val="right"/>
              <w:rPr>
                <w:rFonts w:hint="eastAsia" w:ascii="华文宋体" w:hAnsi="华文宋体" w:eastAsia="华文宋体" w:cs="华文宋体"/>
                <w:color w:val="auto"/>
                <w:sz w:val="23"/>
                <w:szCs w:val="23"/>
                <w:highlight w:val="none"/>
              </w:rPr>
            </w:pPr>
          </w:p>
        </w:tc>
        <w:tc>
          <w:tcPr>
            <w:tcW w:w="1750" w:type="dxa"/>
            <w:tcBorders>
              <w:top w:val="single" w:color="000000" w:sz="2" w:space="0"/>
              <w:left w:val="single" w:color="000000" w:sz="2" w:space="0"/>
              <w:bottom w:val="single" w:color="000000" w:sz="2" w:space="0"/>
              <w:right w:val="single" w:color="000000" w:sz="2" w:space="0"/>
            </w:tcBorders>
            <w:noWrap w:val="0"/>
            <w:vAlign w:val="center"/>
          </w:tcPr>
          <w:p>
            <w:pPr>
              <w:spacing w:line="350" w:lineRule="exact"/>
              <w:ind w:left="18" w:leftChars="10" w:right="18" w:rightChars="10"/>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应急处理方案</w:t>
            </w:r>
          </w:p>
        </w:tc>
        <w:tc>
          <w:tcPr>
            <w:tcW w:w="62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响应供应商针对本项目制定应急处理方案进行评审：</w:t>
            </w:r>
          </w:p>
          <w:p>
            <w:pPr>
              <w:keepNext w:val="0"/>
              <w:keepLines w:val="0"/>
              <w:pageBreakBefore w:val="0"/>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1、</w:t>
            </w:r>
            <w:r>
              <w:rPr>
                <w:rFonts w:hint="eastAsia" w:ascii="华文宋体" w:hAnsi="华文宋体" w:eastAsia="华文宋体" w:cs="华文宋体"/>
                <w:color w:val="auto"/>
                <w:sz w:val="23"/>
                <w:szCs w:val="23"/>
                <w:highlight w:val="none"/>
              </w:rPr>
              <w:t>应急处理方案完整合理、可行性强，得10分；</w:t>
            </w:r>
          </w:p>
          <w:p>
            <w:pPr>
              <w:keepNext w:val="0"/>
              <w:keepLines w:val="0"/>
              <w:pageBreakBefore w:val="0"/>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2、</w:t>
            </w:r>
            <w:r>
              <w:rPr>
                <w:rFonts w:hint="eastAsia" w:ascii="华文宋体" w:hAnsi="华文宋体" w:eastAsia="华文宋体" w:cs="华文宋体"/>
                <w:color w:val="auto"/>
                <w:sz w:val="23"/>
                <w:szCs w:val="23"/>
                <w:highlight w:val="none"/>
              </w:rPr>
              <w:t xml:space="preserve">应急处理方案比较完整合理、可行性比较强，得5分； </w:t>
            </w:r>
          </w:p>
          <w:p>
            <w:pPr>
              <w:keepNext w:val="0"/>
              <w:keepLines w:val="0"/>
              <w:pageBreakBefore w:val="0"/>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3、</w:t>
            </w:r>
            <w:r>
              <w:rPr>
                <w:rFonts w:hint="eastAsia" w:ascii="华文宋体" w:hAnsi="华文宋体" w:eastAsia="华文宋体" w:cs="华文宋体"/>
                <w:color w:val="auto"/>
                <w:sz w:val="23"/>
                <w:szCs w:val="23"/>
                <w:highlight w:val="none"/>
              </w:rPr>
              <w:t>应急处理方案内容一般、可行性一般，得1分；</w:t>
            </w:r>
          </w:p>
          <w:p>
            <w:pPr>
              <w:keepNext w:val="0"/>
              <w:keepLines w:val="0"/>
              <w:pageBreakBefore w:val="0"/>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4、</w:t>
            </w:r>
            <w:r>
              <w:rPr>
                <w:rFonts w:hint="eastAsia" w:ascii="华文宋体" w:hAnsi="华文宋体" w:eastAsia="华文宋体" w:cs="华文宋体"/>
                <w:color w:val="auto"/>
                <w:sz w:val="23"/>
                <w:szCs w:val="23"/>
                <w:highlight w:val="none"/>
              </w:rPr>
              <w:t>应急处理方案完整合理性差、可行性差或其他情况，得0分。</w:t>
            </w:r>
          </w:p>
        </w:tc>
        <w:tc>
          <w:tcPr>
            <w:tcW w:w="661" w:type="dxa"/>
            <w:tcBorders>
              <w:top w:val="single" w:color="000000" w:sz="2" w:space="0"/>
              <w:left w:val="single" w:color="000000" w:sz="2" w:space="0"/>
              <w:bottom w:val="single" w:color="000000" w:sz="2" w:space="0"/>
              <w:right w:val="single" w:color="000000" w:sz="2" w:space="0"/>
            </w:tcBorders>
            <w:noWrap w:val="0"/>
            <w:vAlign w:val="center"/>
          </w:tcPr>
          <w:p>
            <w:pPr>
              <w:spacing w:line="35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05" w:hRule="atLeast"/>
          <w:jc w:val="center"/>
        </w:trPr>
        <w:tc>
          <w:tcPr>
            <w:tcW w:w="545" w:type="dxa"/>
            <w:tcBorders>
              <w:top w:val="single" w:color="auto" w:sz="6" w:space="0"/>
              <w:left w:val="single" w:color="auto" w:sz="6" w:space="0"/>
              <w:bottom w:val="single" w:color="auto" w:sz="6" w:space="0"/>
              <w:right w:val="single" w:color="auto" w:sz="6" w:space="0"/>
            </w:tcBorders>
            <w:noWrap w:val="0"/>
            <w:vAlign w:val="center"/>
          </w:tcPr>
          <w:p>
            <w:pPr>
              <w:numPr>
                <w:ilvl w:val="0"/>
                <w:numId w:val="132"/>
              </w:numPr>
              <w:spacing w:line="350" w:lineRule="exact"/>
              <w:ind w:left="0" w:firstLine="0"/>
              <w:jc w:val="right"/>
              <w:rPr>
                <w:rFonts w:hint="eastAsia" w:ascii="华文宋体" w:hAnsi="华文宋体" w:eastAsia="华文宋体" w:cs="华文宋体"/>
                <w:color w:val="auto"/>
                <w:sz w:val="23"/>
                <w:szCs w:val="23"/>
                <w:highlight w:val="none"/>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pPr>
              <w:spacing w:line="35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kern w:val="0"/>
                <w:sz w:val="23"/>
                <w:szCs w:val="23"/>
                <w:highlight w:val="none"/>
              </w:rPr>
              <w:t>场地设施条件</w:t>
            </w:r>
          </w:p>
        </w:tc>
        <w:tc>
          <w:tcPr>
            <w:tcW w:w="62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响应供应商针对本项目场地设施条件进行评审：</w:t>
            </w:r>
          </w:p>
          <w:p>
            <w:pPr>
              <w:keepNext w:val="0"/>
              <w:keepLines w:val="0"/>
              <w:pageBreakBefore w:val="0"/>
              <w:numPr>
                <w:ilvl w:val="0"/>
                <w:numId w:val="133"/>
              </w:numPr>
              <w:kinsoku/>
              <w:wordWrap/>
              <w:overflowPunct/>
              <w:topLinePunct w:val="0"/>
              <w:autoSpaceDE/>
              <w:autoSpaceDN/>
              <w:bidi w:val="0"/>
              <w:adjustRightInd/>
              <w:snapToGrid/>
              <w:spacing w:line="380" w:lineRule="exact"/>
              <w:ind w:left="319" w:leftChars="20" w:right="36" w:rightChars="20" w:hanging="283"/>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响应供应商针对本项目维修厂房、停车场面积大小和设施条件的进行评审：</w:t>
            </w:r>
          </w:p>
          <w:p>
            <w:pPr>
              <w:keepNext w:val="0"/>
              <w:keepLines w:val="0"/>
              <w:pageBreakBefore w:val="0"/>
              <w:numPr>
                <w:ilvl w:val="0"/>
                <w:numId w:val="133"/>
              </w:numPr>
              <w:kinsoku/>
              <w:wordWrap/>
              <w:overflowPunct/>
              <w:topLinePunct w:val="0"/>
              <w:autoSpaceDE/>
              <w:autoSpaceDN/>
              <w:bidi w:val="0"/>
              <w:adjustRightInd/>
              <w:snapToGrid/>
              <w:spacing w:line="380" w:lineRule="exact"/>
              <w:ind w:left="319" w:leftChars="20" w:right="36" w:rightChars="20" w:hanging="283"/>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维修厂房、停车场面积完全满足本项目车辆进出要求，得8分；</w:t>
            </w:r>
          </w:p>
          <w:p>
            <w:pPr>
              <w:keepNext w:val="0"/>
              <w:keepLines w:val="0"/>
              <w:pageBreakBefore w:val="0"/>
              <w:numPr>
                <w:ilvl w:val="0"/>
                <w:numId w:val="133"/>
              </w:numPr>
              <w:kinsoku/>
              <w:wordWrap/>
              <w:overflowPunct/>
              <w:topLinePunct w:val="0"/>
              <w:autoSpaceDE/>
              <w:autoSpaceDN/>
              <w:bidi w:val="0"/>
              <w:adjustRightInd/>
              <w:snapToGrid/>
              <w:spacing w:line="380" w:lineRule="exact"/>
              <w:ind w:left="319" w:leftChars="20" w:right="36" w:rightChars="20" w:hanging="283"/>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维修厂房、停车场面积基本满足本项目车辆进出要求，得4分；</w:t>
            </w:r>
          </w:p>
          <w:p>
            <w:pPr>
              <w:keepNext w:val="0"/>
              <w:keepLines w:val="0"/>
              <w:pageBreakBefore w:val="0"/>
              <w:numPr>
                <w:ilvl w:val="0"/>
                <w:numId w:val="133"/>
              </w:numPr>
              <w:kinsoku/>
              <w:wordWrap/>
              <w:overflowPunct/>
              <w:topLinePunct w:val="0"/>
              <w:autoSpaceDE/>
              <w:autoSpaceDN/>
              <w:bidi w:val="0"/>
              <w:adjustRightInd/>
              <w:snapToGrid/>
              <w:spacing w:line="380" w:lineRule="exact"/>
              <w:ind w:left="319" w:leftChars="20" w:right="36" w:rightChars="20" w:hanging="283"/>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维修厂房、停车场面积不满足本项目车辆进出要求或其他情况，得0分。</w:t>
            </w:r>
          </w:p>
          <w:p>
            <w:pPr>
              <w:keepNext w:val="0"/>
              <w:keepLines w:val="0"/>
              <w:pageBreakBefore w:val="0"/>
              <w:numPr>
                <w:ilvl w:val="0"/>
                <w:numId w:val="133"/>
              </w:numPr>
              <w:kinsoku/>
              <w:wordWrap/>
              <w:overflowPunct/>
              <w:topLinePunct w:val="0"/>
              <w:autoSpaceDE/>
              <w:autoSpaceDN/>
              <w:bidi w:val="0"/>
              <w:adjustRightInd/>
              <w:snapToGrid/>
              <w:spacing w:line="380" w:lineRule="exact"/>
              <w:ind w:left="319" w:leftChars="20" w:right="36" w:rightChars="20" w:hanging="283"/>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注：提供相关方案及相关照片复印件加盖公章作为评审依据，未提供或提供不全的不得分。</w:t>
            </w:r>
          </w:p>
        </w:tc>
        <w:tc>
          <w:tcPr>
            <w:tcW w:w="661" w:type="dxa"/>
            <w:tcBorders>
              <w:top w:val="single" w:color="auto" w:sz="6" w:space="0"/>
              <w:left w:val="single" w:color="auto" w:sz="6" w:space="0"/>
              <w:bottom w:val="single" w:color="auto" w:sz="6" w:space="0"/>
              <w:right w:val="single" w:color="auto" w:sz="6" w:space="0"/>
            </w:tcBorders>
            <w:noWrap w:val="0"/>
            <w:vAlign w:val="center"/>
          </w:tcPr>
          <w:p>
            <w:pPr>
              <w:spacing w:line="35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8</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2295" w:type="dxa"/>
            <w:gridSpan w:val="2"/>
            <w:tcBorders>
              <w:top w:val="single" w:color="auto" w:sz="6" w:space="0"/>
              <w:left w:val="single" w:color="auto" w:sz="6" w:space="0"/>
              <w:bottom w:val="single" w:color="auto" w:sz="6" w:space="0"/>
              <w:right w:val="single" w:color="auto" w:sz="6" w:space="0"/>
            </w:tcBorders>
            <w:noWrap w:val="0"/>
            <w:vAlign w:val="center"/>
          </w:tcPr>
          <w:p>
            <w:pPr>
              <w:spacing w:line="35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分值小计</w:t>
            </w:r>
          </w:p>
        </w:tc>
        <w:tc>
          <w:tcPr>
            <w:tcW w:w="627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50" w:lineRule="exact"/>
              <w:ind w:left="36" w:leftChars="20" w:right="36" w:rightChars="20"/>
              <w:jc w:val="center"/>
              <w:textAlignment w:val="auto"/>
              <w:rPr>
                <w:rFonts w:hint="eastAsia" w:ascii="华文宋体" w:hAnsi="华文宋体" w:eastAsia="华文宋体" w:cs="华文宋体"/>
                <w:color w:val="auto"/>
                <w:sz w:val="23"/>
                <w:szCs w:val="23"/>
                <w:highlight w:val="none"/>
              </w:rPr>
            </w:pPr>
          </w:p>
        </w:tc>
        <w:tc>
          <w:tcPr>
            <w:tcW w:w="661" w:type="dxa"/>
            <w:tcBorders>
              <w:top w:val="single" w:color="auto" w:sz="6" w:space="0"/>
              <w:left w:val="single" w:color="auto" w:sz="6" w:space="0"/>
              <w:bottom w:val="single" w:color="auto" w:sz="6" w:space="0"/>
              <w:right w:val="single" w:color="auto" w:sz="6" w:space="0"/>
            </w:tcBorders>
            <w:noWrap w:val="0"/>
            <w:vAlign w:val="center"/>
          </w:tcPr>
          <w:p>
            <w:pPr>
              <w:spacing w:line="35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50</w:t>
            </w:r>
          </w:p>
        </w:tc>
      </w:tr>
      <w:bookmarkEnd w:id="101"/>
    </w:tbl>
    <w:p>
      <w:pPr>
        <w:pStyle w:val="8"/>
        <w:spacing w:before="360" w:beforeLines="150" w:line="360" w:lineRule="auto"/>
        <w:ind w:firstLine="480" w:firstLineChars="200"/>
        <w:jc w:val="center"/>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t>3.价格评审因素（10分）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210"/>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89" w:type="dxa"/>
            <w:shd w:val="clear" w:color="auto" w:fill="D7D7D7"/>
            <w:noWrap w:val="0"/>
            <w:vAlign w:val="center"/>
          </w:tcPr>
          <w:p>
            <w:pPr>
              <w:spacing w:line="380" w:lineRule="exact"/>
              <w:jc w:val="center"/>
              <w:rPr>
                <w:rFonts w:hint="eastAsia" w:ascii="华文宋体" w:hAnsi="华文宋体" w:eastAsia="华文宋体" w:cs="华文宋体"/>
                <w:b/>
                <w:bCs/>
                <w:color w:val="auto"/>
                <w:sz w:val="22"/>
                <w:highlight w:val="none"/>
              </w:rPr>
            </w:pPr>
            <w:r>
              <w:rPr>
                <w:rFonts w:hint="eastAsia" w:ascii="华文宋体" w:hAnsi="华文宋体" w:eastAsia="华文宋体" w:cs="华文宋体"/>
                <w:b/>
                <w:bCs/>
                <w:color w:val="auto"/>
                <w:sz w:val="22"/>
                <w:highlight w:val="none"/>
              </w:rPr>
              <w:t>评审项目</w:t>
            </w:r>
          </w:p>
        </w:tc>
        <w:tc>
          <w:tcPr>
            <w:tcW w:w="1210" w:type="dxa"/>
            <w:shd w:val="clear" w:color="auto" w:fill="D7D7D7"/>
            <w:noWrap w:val="0"/>
            <w:vAlign w:val="center"/>
          </w:tcPr>
          <w:p>
            <w:pPr>
              <w:spacing w:line="380" w:lineRule="exact"/>
              <w:jc w:val="center"/>
              <w:rPr>
                <w:rFonts w:hint="eastAsia" w:ascii="华文宋体" w:hAnsi="华文宋体" w:eastAsia="华文宋体" w:cs="华文宋体"/>
                <w:b/>
                <w:bCs/>
                <w:color w:val="auto"/>
                <w:sz w:val="22"/>
                <w:highlight w:val="none"/>
              </w:rPr>
            </w:pPr>
            <w:r>
              <w:rPr>
                <w:rFonts w:hint="eastAsia" w:ascii="华文宋体" w:hAnsi="华文宋体" w:eastAsia="华文宋体" w:cs="华文宋体"/>
                <w:b/>
                <w:bCs/>
                <w:color w:val="auto"/>
                <w:sz w:val="22"/>
                <w:highlight w:val="none"/>
              </w:rPr>
              <w:t>价格分值</w:t>
            </w:r>
          </w:p>
        </w:tc>
        <w:tc>
          <w:tcPr>
            <w:tcW w:w="6725" w:type="dxa"/>
            <w:shd w:val="clear" w:color="auto" w:fill="D7D7D7"/>
            <w:noWrap w:val="0"/>
            <w:vAlign w:val="center"/>
          </w:tcPr>
          <w:p>
            <w:pPr>
              <w:spacing w:line="380" w:lineRule="exact"/>
              <w:jc w:val="center"/>
              <w:rPr>
                <w:rFonts w:hint="eastAsia" w:ascii="华文宋体" w:hAnsi="华文宋体" w:eastAsia="华文宋体" w:cs="华文宋体"/>
                <w:b/>
                <w:bCs/>
                <w:color w:val="auto"/>
                <w:sz w:val="22"/>
                <w:highlight w:val="none"/>
              </w:rPr>
            </w:pPr>
            <w:r>
              <w:rPr>
                <w:rFonts w:hint="eastAsia" w:ascii="华文宋体" w:hAnsi="华文宋体" w:eastAsia="华文宋体" w:cs="华文宋体"/>
                <w:b/>
                <w:bCs/>
                <w:color w:val="auto"/>
                <w:sz w:val="22"/>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jc w:val="center"/>
        </w:trPr>
        <w:tc>
          <w:tcPr>
            <w:tcW w:w="1289" w:type="dxa"/>
            <w:noWrap w:val="0"/>
            <w:vAlign w:val="center"/>
          </w:tcPr>
          <w:p>
            <w:pPr>
              <w:spacing w:line="38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价格得分</w:t>
            </w:r>
          </w:p>
        </w:tc>
        <w:tc>
          <w:tcPr>
            <w:tcW w:w="1210" w:type="dxa"/>
            <w:noWrap w:val="0"/>
            <w:vAlign w:val="center"/>
          </w:tcPr>
          <w:p>
            <w:pPr>
              <w:spacing w:line="380" w:lineRule="exact"/>
              <w:jc w:val="center"/>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10分</w:t>
            </w:r>
          </w:p>
        </w:tc>
        <w:tc>
          <w:tcPr>
            <w:tcW w:w="6725" w:type="dxa"/>
            <w:noWrap w:val="0"/>
            <w:vAlign w:val="center"/>
          </w:tcPr>
          <w:p>
            <w:pPr>
              <w:spacing w:line="33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价格评分：价格分应当采用低价优先法计算，即满足磋商文件要求且磋商价格最低的磋商报价为评审基准价，其价格分为满分。其他响应供应商的价格分统一按照下列公式计算：</w:t>
            </w:r>
          </w:p>
          <w:p>
            <w:pPr>
              <w:spacing w:line="33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（1）维修项目工时费用评分=（评审基准价／维修项目工时费折扣率）×100×权重</w:t>
            </w:r>
          </w:p>
          <w:p>
            <w:pPr>
              <w:spacing w:line="33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（2）零配件费用评分=（评审基准价／附加管理费费率）×100×权重</w:t>
            </w:r>
          </w:p>
          <w:p>
            <w:pPr>
              <w:spacing w:line="33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价格评分10%=维修项目工时费用评分5%+零配件费用评分5%</w:t>
            </w:r>
          </w:p>
          <w:p>
            <w:pPr>
              <w:spacing w:line="33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备注：1、磋商报价得分四舍五入后，小数点后保留两位有效数；</w:t>
            </w:r>
          </w:p>
        </w:tc>
      </w:tr>
    </w:tbl>
    <w:p>
      <w:pPr>
        <w:spacing w:line="38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注：</w:t>
      </w:r>
    </w:p>
    <w:p>
      <w:pPr>
        <w:numPr>
          <w:ilvl w:val="0"/>
          <w:numId w:val="134"/>
        </w:numPr>
        <w:spacing w:line="380" w:lineRule="exact"/>
        <w:ind w:left="255" w:hanging="255"/>
        <w:outlineLvl w:val="4"/>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评审因素表由各单位根据项目实际情况制定；</w:t>
      </w:r>
    </w:p>
    <w:p>
      <w:pPr>
        <w:numPr>
          <w:ilvl w:val="0"/>
          <w:numId w:val="134"/>
        </w:numPr>
        <w:spacing w:line="380" w:lineRule="exact"/>
        <w:ind w:left="255" w:hanging="255"/>
        <w:outlineLvl w:val="4"/>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评审因素的设定应当与供应商所提供货物服务的质量相关，包括竞争性磋商响应报价、技术或者服务水平、履约能力、售后服务等。资格条件不得作为评审因素。评审因素应当细化和量化，且与相应的商务条件和采购需求对应。商务条件和采购需求指标有区间规定的，评审因素应当量化到相应区间，并设置各区间对应的不同分值；</w:t>
      </w:r>
    </w:p>
    <w:p>
      <w:pPr>
        <w:numPr>
          <w:ilvl w:val="0"/>
          <w:numId w:val="134"/>
        </w:numPr>
        <w:spacing w:line="380" w:lineRule="exact"/>
        <w:ind w:left="255" w:hanging="255"/>
        <w:outlineLvl w:val="4"/>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货物项目的价格分值占总分值的比重不得低于30</w:t>
      </w:r>
      <w:r>
        <w:rPr>
          <w:rFonts w:hint="eastAsia" w:ascii="华文宋体" w:hAnsi="华文宋体" w:eastAsia="华文宋体" w:cs="华文宋体"/>
          <w:bCs/>
          <w:color w:val="auto"/>
          <w:sz w:val="23"/>
          <w:szCs w:val="23"/>
          <w:highlight w:val="none"/>
        </w:rPr>
        <w:t>%</w:t>
      </w:r>
      <w:r>
        <w:rPr>
          <w:rFonts w:hint="eastAsia" w:ascii="华文宋体" w:hAnsi="华文宋体" w:eastAsia="华文宋体" w:cs="华文宋体"/>
          <w:color w:val="auto"/>
          <w:sz w:val="22"/>
          <w:highlight w:val="none"/>
        </w:rPr>
        <w:t>；服务项目的价格分值占总分值的比重不得低于10</w:t>
      </w:r>
      <w:r>
        <w:rPr>
          <w:rFonts w:hint="eastAsia" w:ascii="华文宋体" w:hAnsi="华文宋体" w:eastAsia="华文宋体" w:cs="华文宋体"/>
          <w:bCs/>
          <w:color w:val="auto"/>
          <w:sz w:val="23"/>
          <w:szCs w:val="23"/>
          <w:highlight w:val="none"/>
        </w:rPr>
        <w:t>%</w:t>
      </w:r>
      <w:r>
        <w:rPr>
          <w:rFonts w:hint="eastAsia" w:ascii="华文宋体" w:hAnsi="华文宋体" w:eastAsia="华文宋体" w:cs="华文宋体"/>
          <w:color w:val="auto"/>
          <w:sz w:val="22"/>
          <w:highlight w:val="none"/>
        </w:rPr>
        <w:t>。执行国家统一定价标准和采用固定价格采购的项目，其价格不列为评审因素；</w:t>
      </w:r>
    </w:p>
    <w:p>
      <w:pPr>
        <w:numPr>
          <w:ilvl w:val="0"/>
          <w:numId w:val="134"/>
        </w:numPr>
        <w:spacing w:line="380" w:lineRule="exact"/>
        <w:ind w:left="255" w:hanging="255"/>
        <w:outlineLvl w:val="4"/>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因落实政府采购政策进行价格调整的，以调整后的价格计算磋商基准价和磋商报价。</w:t>
      </w:r>
    </w:p>
    <w:p>
      <w:pPr>
        <w:spacing w:line="240" w:lineRule="exact"/>
        <w:outlineLvl w:val="2"/>
        <w:rPr>
          <w:rFonts w:hint="eastAsia" w:ascii="华文宋体" w:hAnsi="华文宋体" w:eastAsia="华文宋体" w:cs="华文宋体"/>
          <w:b/>
          <w:bCs/>
          <w:color w:val="auto"/>
          <w:sz w:val="24"/>
          <w:szCs w:val="24"/>
          <w:highlight w:val="none"/>
        </w:rPr>
      </w:pPr>
    </w:p>
    <w:p>
      <w:pPr>
        <w:numPr>
          <w:ilvl w:val="0"/>
          <w:numId w:val="122"/>
        </w:numPr>
        <w:spacing w:line="480" w:lineRule="exact"/>
        <w:ind w:firstLine="0"/>
        <w:outlineLvl w:val="1"/>
        <w:rPr>
          <w:rFonts w:hint="eastAsia" w:ascii="华文宋体" w:hAnsi="华文宋体" w:eastAsia="华文宋体" w:cs="华文宋体"/>
          <w:b/>
          <w:color w:val="auto"/>
          <w:sz w:val="24"/>
          <w:szCs w:val="24"/>
          <w:highlight w:val="none"/>
        </w:rPr>
      </w:pPr>
      <w:r>
        <w:rPr>
          <w:rFonts w:hint="eastAsia" w:ascii="华文宋体" w:hAnsi="华文宋体" w:eastAsia="华文宋体" w:cs="华文宋体"/>
          <w:b/>
          <w:color w:val="auto"/>
          <w:sz w:val="24"/>
          <w:szCs w:val="24"/>
          <w:highlight w:val="none"/>
        </w:rPr>
        <w:t>价格部分</w:t>
      </w:r>
    </w:p>
    <w:p>
      <w:pPr>
        <w:numPr>
          <w:ilvl w:val="0"/>
          <w:numId w:val="135"/>
        </w:numPr>
        <w:spacing w:line="480" w:lineRule="exact"/>
        <w:ind w:left="255" w:hanging="255"/>
        <w:outlineLvl w:val="2"/>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价格分统一采用低价优先原则计算，即满足竞争性磋商文件要求（通过初步评审）且价格最低的报价（指修正及价格扣除后报价，下同）为磋商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outlineLvl w:val="2"/>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（1）维修项目工时费用评分=（评审基准价／维修项目工时费折扣率）×100×权重</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outlineLvl w:val="2"/>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（2）零配件费用评分=（评审基准价／附加管理费费率）×100×权重</w:t>
      </w:r>
    </w:p>
    <w:p>
      <w:pPr>
        <w:spacing w:line="480" w:lineRule="exact"/>
        <w:ind w:firstLine="720" w:firstLineChars="300"/>
        <w:outlineLvl w:val="2"/>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价格评分10%=维修项目工时费用评分5%+零配件费用评分5%</w:t>
      </w:r>
    </w:p>
    <w:p>
      <w:pPr>
        <w:numPr>
          <w:ilvl w:val="0"/>
          <w:numId w:val="135"/>
        </w:numPr>
        <w:spacing w:line="480" w:lineRule="exact"/>
        <w:ind w:left="255" w:hanging="255"/>
        <w:outlineLvl w:val="2"/>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核价原则详见供应商须知26.2；</w:t>
      </w:r>
    </w:p>
    <w:p>
      <w:pPr>
        <w:numPr>
          <w:ilvl w:val="0"/>
          <w:numId w:val="135"/>
        </w:numPr>
        <w:spacing w:after="120" w:afterLines="50" w:line="480" w:lineRule="exact"/>
        <w:ind w:left="255" w:hanging="255"/>
        <w:outlineLvl w:val="2"/>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价格扣除原则：</w:t>
      </w:r>
    </w:p>
    <w:tbl>
      <w:tblPr>
        <w:tblStyle w:val="30"/>
        <w:tblW w:w="8761"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757"/>
        <w:gridCol w:w="1459"/>
        <w:gridCol w:w="3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15" w:type="dxa"/>
            <w:shd w:val="clear" w:color="auto" w:fill="D7D7D7"/>
            <w:noWrap w:val="0"/>
            <w:vAlign w:val="center"/>
          </w:tcPr>
          <w:p>
            <w:pPr>
              <w:spacing w:line="340" w:lineRule="exact"/>
              <w:ind w:left="-90" w:leftChars="-50" w:right="-90" w:rightChars="-50"/>
              <w:jc w:val="center"/>
              <w:rPr>
                <w:rFonts w:hint="eastAsia" w:ascii="华文宋体" w:hAnsi="华文宋体" w:eastAsia="华文宋体" w:cs="华文宋体"/>
                <w:b/>
                <w:color w:val="auto"/>
                <w:sz w:val="23"/>
                <w:szCs w:val="23"/>
                <w:highlight w:val="none"/>
                <w:lang w:val="en-GB"/>
              </w:rPr>
            </w:pPr>
            <w:r>
              <w:rPr>
                <w:rFonts w:hint="eastAsia" w:ascii="华文宋体" w:hAnsi="华文宋体" w:eastAsia="华文宋体" w:cs="华文宋体"/>
                <w:b/>
                <w:color w:val="auto"/>
                <w:sz w:val="23"/>
                <w:szCs w:val="23"/>
                <w:highlight w:val="none"/>
                <w:lang w:val="en-GB"/>
              </w:rPr>
              <w:t>序号</w:t>
            </w:r>
          </w:p>
        </w:tc>
        <w:tc>
          <w:tcPr>
            <w:tcW w:w="2757" w:type="dxa"/>
            <w:shd w:val="clear" w:color="auto" w:fill="D7D7D7"/>
            <w:noWrap w:val="0"/>
            <w:vAlign w:val="center"/>
          </w:tcPr>
          <w:p>
            <w:pPr>
              <w:spacing w:line="340" w:lineRule="exact"/>
              <w:jc w:val="center"/>
              <w:rPr>
                <w:rFonts w:hint="eastAsia" w:ascii="华文宋体" w:hAnsi="华文宋体" w:eastAsia="华文宋体" w:cs="华文宋体"/>
                <w:b/>
                <w:color w:val="auto"/>
                <w:sz w:val="23"/>
                <w:szCs w:val="23"/>
                <w:highlight w:val="none"/>
                <w:lang w:val="en-GB"/>
              </w:rPr>
            </w:pPr>
            <w:r>
              <w:rPr>
                <w:rFonts w:hint="eastAsia" w:ascii="华文宋体" w:hAnsi="华文宋体" w:eastAsia="华文宋体" w:cs="华文宋体"/>
                <w:b/>
                <w:color w:val="auto"/>
                <w:sz w:val="23"/>
                <w:szCs w:val="23"/>
                <w:highlight w:val="none"/>
                <w:lang w:val="en-GB"/>
              </w:rPr>
              <w:t>情形</w:t>
            </w:r>
          </w:p>
        </w:tc>
        <w:tc>
          <w:tcPr>
            <w:tcW w:w="1459" w:type="dxa"/>
            <w:shd w:val="clear" w:color="auto" w:fill="D7D7D7"/>
            <w:noWrap w:val="0"/>
            <w:vAlign w:val="center"/>
          </w:tcPr>
          <w:p>
            <w:pPr>
              <w:spacing w:line="340" w:lineRule="exact"/>
              <w:jc w:val="center"/>
              <w:rPr>
                <w:rFonts w:hint="eastAsia" w:ascii="华文宋体" w:hAnsi="华文宋体" w:eastAsia="华文宋体" w:cs="华文宋体"/>
                <w:b/>
                <w:color w:val="auto"/>
                <w:sz w:val="23"/>
                <w:szCs w:val="23"/>
                <w:highlight w:val="none"/>
                <w:lang w:val="en-GB"/>
              </w:rPr>
            </w:pPr>
            <w:r>
              <w:rPr>
                <w:rFonts w:hint="eastAsia" w:ascii="华文宋体" w:hAnsi="华文宋体" w:eastAsia="华文宋体" w:cs="华文宋体"/>
                <w:b/>
                <w:color w:val="auto"/>
                <w:sz w:val="23"/>
                <w:szCs w:val="23"/>
                <w:highlight w:val="none"/>
              </w:rPr>
              <w:t>价格扣除率</w:t>
            </w:r>
          </w:p>
        </w:tc>
        <w:tc>
          <w:tcPr>
            <w:tcW w:w="3930" w:type="dxa"/>
            <w:shd w:val="clear" w:color="auto" w:fill="D7D7D7"/>
            <w:noWrap w:val="0"/>
            <w:vAlign w:val="center"/>
          </w:tcPr>
          <w:p>
            <w:pPr>
              <w:spacing w:line="340" w:lineRule="exact"/>
              <w:jc w:val="center"/>
              <w:rPr>
                <w:rFonts w:hint="eastAsia" w:ascii="华文宋体" w:hAnsi="华文宋体" w:eastAsia="华文宋体" w:cs="华文宋体"/>
                <w:b/>
                <w:color w:val="auto"/>
                <w:sz w:val="23"/>
                <w:szCs w:val="23"/>
                <w:highlight w:val="none"/>
                <w:lang w:val="en-GB"/>
              </w:rPr>
            </w:pPr>
            <w:r>
              <w:rPr>
                <w:rFonts w:hint="eastAsia" w:ascii="华文宋体" w:hAnsi="华文宋体" w:eastAsia="华文宋体" w:cs="华文宋体"/>
                <w:b/>
                <w:color w:val="auto"/>
                <w:sz w:val="23"/>
                <w:szCs w:val="23"/>
                <w:highlight w:val="none"/>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615" w:type="dxa"/>
            <w:noWrap w:val="0"/>
            <w:vAlign w:val="center"/>
          </w:tcPr>
          <w:p>
            <w:pPr>
              <w:numPr>
                <w:ilvl w:val="0"/>
                <w:numId w:val="136"/>
              </w:numPr>
              <w:spacing w:line="400" w:lineRule="exact"/>
              <w:jc w:val="center"/>
              <w:rPr>
                <w:rFonts w:hint="eastAsia" w:ascii="华文宋体" w:hAnsi="华文宋体" w:eastAsia="华文宋体" w:cs="华文宋体"/>
                <w:bCs/>
                <w:color w:val="auto"/>
                <w:sz w:val="23"/>
                <w:szCs w:val="23"/>
                <w:highlight w:val="none"/>
                <w:lang w:val="en-GB"/>
              </w:rPr>
            </w:pPr>
          </w:p>
        </w:tc>
        <w:tc>
          <w:tcPr>
            <w:tcW w:w="2757" w:type="dxa"/>
            <w:noWrap w:val="0"/>
            <w:vAlign w:val="center"/>
          </w:tcPr>
          <w:p>
            <w:pPr>
              <w:spacing w:line="380" w:lineRule="exact"/>
              <w:jc w:val="left"/>
              <w:rPr>
                <w:rFonts w:hint="eastAsia" w:ascii="华文宋体" w:hAnsi="华文宋体" w:eastAsia="华文宋体" w:cs="华文宋体"/>
                <w:b/>
                <w:color w:val="auto"/>
                <w:sz w:val="23"/>
                <w:szCs w:val="23"/>
                <w:highlight w:val="none"/>
                <w:lang w:val="en-GB"/>
              </w:rPr>
            </w:pPr>
            <w:r>
              <w:rPr>
                <w:rFonts w:hint="eastAsia" w:ascii="华文宋体" w:hAnsi="华文宋体" w:eastAsia="华文宋体" w:cs="华文宋体"/>
                <w:color w:val="auto"/>
                <w:sz w:val="23"/>
                <w:szCs w:val="23"/>
                <w:highlight w:val="none"/>
                <w:lang w:val="en-GB"/>
              </w:rPr>
              <w:t>非联合体供应商（供应商须为小型、微型企业，残疾人福利企业或监狱企业均视同小微企业）</w:t>
            </w:r>
          </w:p>
        </w:tc>
        <w:tc>
          <w:tcPr>
            <w:tcW w:w="1459" w:type="dxa"/>
            <w:noWrap w:val="0"/>
            <w:vAlign w:val="center"/>
          </w:tcPr>
          <w:p>
            <w:pPr>
              <w:spacing w:line="380" w:lineRule="exact"/>
              <w:jc w:val="left"/>
              <w:rPr>
                <w:rFonts w:hint="eastAsia" w:ascii="华文宋体" w:hAnsi="华文宋体" w:eastAsia="华文宋体" w:cs="华文宋体"/>
                <w:b/>
                <w:color w:val="auto"/>
                <w:sz w:val="23"/>
                <w:szCs w:val="23"/>
                <w:highlight w:val="none"/>
                <w:lang w:val="en-GB"/>
              </w:rPr>
            </w:pPr>
            <w:r>
              <w:rPr>
                <w:rFonts w:hint="eastAsia" w:ascii="华文宋体" w:hAnsi="华文宋体" w:eastAsia="华文宋体" w:cs="华文宋体"/>
                <w:color w:val="auto"/>
                <w:sz w:val="23"/>
                <w:szCs w:val="23"/>
                <w:highlight w:val="none"/>
              </w:rPr>
              <w:t>对小型和微型企业的价格扣除</w:t>
            </w:r>
            <w:r>
              <w:rPr>
                <w:rFonts w:hint="eastAsia" w:ascii="华文宋体" w:hAnsi="华文宋体" w:eastAsia="华文宋体" w:cs="华文宋体"/>
                <w:b/>
                <w:color w:val="auto"/>
                <w:sz w:val="23"/>
                <w:szCs w:val="23"/>
                <w:highlight w:val="none"/>
                <w:u w:val="single"/>
              </w:rPr>
              <w:t>10</w:t>
            </w:r>
            <w:r>
              <w:rPr>
                <w:rFonts w:hint="eastAsia" w:ascii="华文宋体" w:hAnsi="华文宋体" w:eastAsia="华文宋体" w:cs="华文宋体"/>
                <w:b/>
                <w:bCs/>
                <w:color w:val="auto"/>
                <w:sz w:val="23"/>
                <w:szCs w:val="23"/>
                <w:highlight w:val="none"/>
                <w:u w:val="single"/>
              </w:rPr>
              <w:t>%</w:t>
            </w:r>
          </w:p>
        </w:tc>
        <w:tc>
          <w:tcPr>
            <w:tcW w:w="3930" w:type="dxa"/>
            <w:noWrap w:val="0"/>
            <w:vAlign w:val="center"/>
          </w:tcPr>
          <w:p>
            <w:pPr>
              <w:spacing w:line="400" w:lineRule="exact"/>
              <w:ind w:left="-18" w:leftChars="-10" w:right="-18" w:rightChars="-10"/>
              <w:jc w:val="center"/>
              <w:rPr>
                <w:rFonts w:hint="eastAsia" w:ascii="华文宋体" w:hAnsi="华文宋体" w:eastAsia="华文宋体" w:cs="华文宋体"/>
                <w:color w:val="auto"/>
                <w:sz w:val="23"/>
                <w:szCs w:val="23"/>
                <w:highlight w:val="none"/>
                <w:lang w:val="en-GB"/>
              </w:rPr>
            </w:pPr>
            <w:r>
              <w:rPr>
                <w:rFonts w:hint="eastAsia" w:ascii="华文宋体" w:hAnsi="华文宋体" w:eastAsia="华文宋体" w:cs="华文宋体"/>
                <w:color w:val="auto"/>
                <w:sz w:val="23"/>
                <w:szCs w:val="23"/>
                <w:highlight w:val="none"/>
                <w:lang w:val="en-GB"/>
              </w:rPr>
              <w:t>评审价＝最后</w:t>
            </w:r>
            <w:r>
              <w:rPr>
                <w:rFonts w:hint="eastAsia" w:ascii="华文宋体" w:hAnsi="华文宋体" w:eastAsia="华文宋体" w:cs="华文宋体"/>
                <w:color w:val="auto"/>
                <w:sz w:val="23"/>
                <w:szCs w:val="23"/>
                <w:highlight w:val="none"/>
              </w:rPr>
              <w:t>磋商</w:t>
            </w:r>
            <w:r>
              <w:rPr>
                <w:rFonts w:hint="eastAsia" w:ascii="华文宋体" w:hAnsi="华文宋体" w:eastAsia="华文宋体" w:cs="华文宋体"/>
                <w:color w:val="auto"/>
                <w:sz w:val="23"/>
                <w:szCs w:val="23"/>
                <w:highlight w:val="none"/>
                <w:lang w:val="en-GB"/>
              </w:rPr>
              <w:t>报价×</w:t>
            </w:r>
            <w:r>
              <w:rPr>
                <w:rFonts w:hint="eastAsia" w:ascii="华文宋体" w:hAnsi="华文宋体" w:eastAsia="华文宋体" w:cs="华文宋体"/>
                <w:color w:val="auto"/>
                <w:sz w:val="23"/>
                <w:szCs w:val="23"/>
                <w:highlight w:val="none"/>
              </w:rPr>
              <w:t>(1-扣除率）</w:t>
            </w:r>
          </w:p>
        </w:tc>
      </w:tr>
    </w:tbl>
    <w:p>
      <w:pPr>
        <w:spacing w:line="240" w:lineRule="exact"/>
        <w:outlineLvl w:val="2"/>
        <w:rPr>
          <w:rFonts w:hint="eastAsia" w:ascii="华文宋体" w:hAnsi="华文宋体" w:eastAsia="华文宋体" w:cs="华文宋体"/>
          <w:b/>
          <w:bCs/>
          <w:color w:val="auto"/>
          <w:sz w:val="24"/>
          <w:szCs w:val="24"/>
          <w:highlight w:val="none"/>
        </w:rPr>
      </w:pPr>
      <w:bookmarkStart w:id="103" w:name="_Toc255669476"/>
    </w:p>
    <w:p>
      <w:pPr>
        <w:spacing w:before="60" w:beforeLines="25" w:line="480" w:lineRule="exact"/>
        <w:outlineLvl w:val="2"/>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t>七、价格扣除</w:t>
      </w:r>
    </w:p>
    <w:p>
      <w:pPr>
        <w:pStyle w:val="8"/>
        <w:spacing w:line="480" w:lineRule="exact"/>
        <w:ind w:firstLine="0"/>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color w:val="auto"/>
          <w:sz w:val="24"/>
          <w:szCs w:val="24"/>
          <w:highlight w:val="none"/>
        </w:rPr>
        <w:t>（一）</w:t>
      </w:r>
      <w:r>
        <w:rPr>
          <w:rFonts w:hint="eastAsia" w:ascii="华文宋体" w:hAnsi="华文宋体" w:eastAsia="华文宋体" w:cs="华文宋体"/>
          <w:b/>
          <w:bCs/>
          <w:color w:val="auto"/>
          <w:sz w:val="24"/>
          <w:szCs w:val="24"/>
          <w:highlight w:val="none"/>
        </w:rPr>
        <w:t>小型和微型企业产品价格扣除</w:t>
      </w:r>
    </w:p>
    <w:p>
      <w:pPr>
        <w:pStyle w:val="8"/>
        <w:numPr>
          <w:ilvl w:val="0"/>
          <w:numId w:val="137"/>
        </w:numPr>
        <w:spacing w:line="480" w:lineRule="exact"/>
        <w:ind w:firstLine="480" w:firstLineChars="200"/>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color w:val="auto"/>
          <w:sz w:val="24"/>
          <w:szCs w:val="24"/>
          <w:highlight w:val="none"/>
        </w:rPr>
        <w:t>根据财政部、工业和信息化部印发的《政府采购促进中小企业发展管理办法》（财库〔2020〕46号）的规定，对小型和微型企业产品的价格给予</w:t>
      </w:r>
      <w:r>
        <w:rPr>
          <w:rFonts w:hint="eastAsia" w:ascii="华文宋体" w:hAnsi="华文宋体" w:eastAsia="华文宋体" w:cs="华文宋体"/>
          <w:b/>
          <w:bCs/>
          <w:color w:val="auto"/>
          <w:sz w:val="24"/>
          <w:szCs w:val="24"/>
          <w:highlight w:val="none"/>
        </w:rPr>
        <w:t xml:space="preserve">10% </w:t>
      </w:r>
      <w:r>
        <w:rPr>
          <w:rFonts w:hint="eastAsia" w:ascii="华文宋体" w:hAnsi="华文宋体" w:eastAsia="华文宋体" w:cs="华文宋体"/>
          <w:color w:val="auto"/>
          <w:sz w:val="24"/>
          <w:szCs w:val="24"/>
          <w:highlight w:val="none"/>
        </w:rPr>
        <w:t>的扣除，用扣除后的价格参与评审。</w:t>
      </w:r>
      <w:r>
        <w:rPr>
          <w:rFonts w:hint="eastAsia" w:ascii="华文宋体" w:hAnsi="华文宋体" w:eastAsia="华文宋体" w:cs="华文宋体"/>
          <w:b/>
          <w:bCs/>
          <w:color w:val="auto"/>
          <w:sz w:val="24"/>
          <w:szCs w:val="24"/>
          <w:highlight w:val="none"/>
        </w:rPr>
        <w:t>专门面向中小微企业的项目，小微企业不再享有10% 的价格扣除政策。</w:t>
      </w:r>
    </w:p>
    <w:p>
      <w:pPr>
        <w:pStyle w:val="8"/>
        <w:numPr>
          <w:ilvl w:val="0"/>
          <w:numId w:val="137"/>
        </w:numPr>
        <w:spacing w:line="480" w:lineRule="exact"/>
        <w:ind w:firstLine="480" w:firstLineChars="20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《政府采购促进中小企业发展管理办法》所称中小企业（含中型、小型、微型企业，下同）应当同时符合以下条件：</w:t>
      </w:r>
    </w:p>
    <w:p>
      <w:pPr>
        <w:pStyle w:val="8"/>
        <w:spacing w:line="480" w:lineRule="exact"/>
        <w:ind w:firstLine="360" w:firstLineChars="15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（1）在货物采购项目中，货物由中小企业制造，即货物由中小企业生产且使用该中小企业商号或者注册商标；</w:t>
      </w:r>
    </w:p>
    <w:p>
      <w:pPr>
        <w:pStyle w:val="8"/>
        <w:spacing w:line="480" w:lineRule="exact"/>
        <w:ind w:firstLine="360" w:firstLineChars="15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（2）提供本企业制造的货物、承担的工程或者服务，或者提供其他中小企业制造的货物；</w:t>
      </w:r>
    </w:p>
    <w:p>
      <w:pPr>
        <w:pStyle w:val="8"/>
        <w:spacing w:line="480" w:lineRule="exact"/>
        <w:ind w:firstLine="360" w:firstLineChars="15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（3）在服务采购项目中，服务由中小企业承接，即提供服务的人员为中小企业依照《中华人民共和国劳动合同法》订立劳动合同的从业人员。</w:t>
      </w:r>
    </w:p>
    <w:p>
      <w:pPr>
        <w:pStyle w:val="8"/>
        <w:spacing w:line="480" w:lineRule="exact"/>
        <w:ind w:firstLine="480" w:firstLineChars="20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在货物采购项目中，供应商提供的货物既有中小企业制造货物，也有大型企业制造货物的，不享受本办法规定的中小企业扶持政策。</w:t>
      </w:r>
    </w:p>
    <w:p>
      <w:pPr>
        <w:pStyle w:val="8"/>
        <w:spacing w:line="480" w:lineRule="exact"/>
        <w:ind w:firstLine="480" w:firstLineChars="20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以联合体形式参加政府采购活动，联合体各方均为中小企业的，联合体视同中小企业。其中，联合体各方均为小微企业的，联合体视同小微企业。</w:t>
      </w:r>
    </w:p>
    <w:p>
      <w:pPr>
        <w:pStyle w:val="8"/>
        <w:numPr>
          <w:ilvl w:val="0"/>
          <w:numId w:val="137"/>
        </w:numPr>
        <w:spacing w:line="480" w:lineRule="exact"/>
        <w:ind w:firstLine="480" w:firstLineChars="200"/>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color w:val="auto"/>
          <w:sz w:val="24"/>
          <w:szCs w:val="24"/>
          <w:highlight w:val="none"/>
        </w:rPr>
        <w:t>参加政府采购活动的中小企业应当提供《中小企业声明函》（格式见第六章 响应文件格式）。</w:t>
      </w:r>
      <w:r>
        <w:rPr>
          <w:rFonts w:hint="eastAsia" w:ascii="华文宋体" w:hAnsi="华文宋体" w:eastAsia="华文宋体" w:cs="华文宋体"/>
          <w:b/>
          <w:bCs/>
          <w:color w:val="auto"/>
          <w:sz w:val="24"/>
          <w:szCs w:val="24"/>
          <w:highlight w:val="none"/>
        </w:rPr>
        <w:t>响应供应商提供的货物只有部分为小型或微型企业制造的，不享受价格扣除。</w:t>
      </w:r>
    </w:p>
    <w:p>
      <w:pPr>
        <w:pStyle w:val="8"/>
        <w:numPr>
          <w:ilvl w:val="0"/>
          <w:numId w:val="137"/>
        </w:numPr>
        <w:spacing w:line="480" w:lineRule="exact"/>
        <w:ind w:firstLine="480" w:firstLineChars="20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享受扶持政策获得政府采购合同的，小微企业不得将合同分包给大中型企业，中型企业不得将合同分包给大型企业；</w:t>
      </w:r>
    </w:p>
    <w:p>
      <w:pPr>
        <w:pStyle w:val="8"/>
        <w:numPr>
          <w:ilvl w:val="0"/>
          <w:numId w:val="137"/>
        </w:numPr>
        <w:spacing w:line="480" w:lineRule="exact"/>
        <w:ind w:firstLine="480" w:firstLineChars="20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监狱企业产品价格扣除</w:t>
      </w:r>
    </w:p>
    <w:p>
      <w:pPr>
        <w:pStyle w:val="8"/>
        <w:spacing w:line="480" w:lineRule="exact"/>
        <w:ind w:firstLine="360" w:firstLineChars="15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（1）在政府采购活动中，监狱企业视同小型、微型企业，享受预留份额、评审中价格扣除等政府采购促进中小企业发展的政府采购政策。</w:t>
      </w:r>
    </w:p>
    <w:p>
      <w:pPr>
        <w:pStyle w:val="8"/>
        <w:spacing w:line="480" w:lineRule="exact"/>
        <w:ind w:firstLine="360" w:firstLineChars="15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8"/>
        <w:spacing w:line="480" w:lineRule="exact"/>
        <w:ind w:firstLine="360" w:firstLineChars="15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（3）监狱企业参加政府采购活动时，应当提供由省级以上监狱管理局、戒毒管理局（含新疆生产建设兵团）出具的属于监狱企业的证明文件，否则不予认可。</w:t>
      </w:r>
    </w:p>
    <w:p>
      <w:pPr>
        <w:pStyle w:val="8"/>
        <w:numPr>
          <w:ilvl w:val="0"/>
          <w:numId w:val="137"/>
        </w:numPr>
        <w:spacing w:line="480" w:lineRule="exact"/>
        <w:ind w:firstLine="480" w:firstLineChars="20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残疾人福利性单位产品价格扣除</w:t>
      </w:r>
    </w:p>
    <w:p>
      <w:pPr>
        <w:pStyle w:val="8"/>
        <w:spacing w:line="480" w:lineRule="exact"/>
        <w:ind w:firstLine="360" w:firstLineChars="15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（1）在政府采购活动中，残疾人福利性单位视同小型、微型企业，享受预留份额、评审中价格扣除等促进中小企业发展的政府采购政策。</w:t>
      </w:r>
    </w:p>
    <w:p>
      <w:pPr>
        <w:pStyle w:val="8"/>
        <w:spacing w:line="480" w:lineRule="exact"/>
        <w:ind w:firstLine="360" w:firstLineChars="15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 响应文件格式），并对声明的真实性负责。一旦成交将在成交公告中公告其声明函，接受社会监督。响应供应商提供的《残疾人福利性单位声明函》与事实不符的，依照《中华人民共和国政府采购法》第七十七条第一款的规定追究法律责任。</w:t>
      </w:r>
    </w:p>
    <w:p>
      <w:pPr>
        <w:pStyle w:val="8"/>
        <w:spacing w:line="480" w:lineRule="exact"/>
        <w:ind w:firstLine="360" w:firstLineChars="15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（二）响应供应商同时为小型、微型企业、监狱企业、残疾人福利性单位任两种或以上情况的，评审中只享受一次价格扣除，不重复进行价格扣除。</w:t>
      </w:r>
    </w:p>
    <w:p>
      <w:pPr>
        <w:spacing w:line="480" w:lineRule="exact"/>
        <w:outlineLvl w:val="1"/>
        <w:rPr>
          <w:rFonts w:hint="eastAsia" w:ascii="华文宋体" w:hAnsi="华文宋体" w:eastAsia="华文宋体" w:cs="华文宋体"/>
          <w:b/>
          <w:color w:val="auto"/>
          <w:sz w:val="24"/>
          <w:szCs w:val="24"/>
          <w:highlight w:val="none"/>
        </w:rPr>
      </w:pPr>
      <w:r>
        <w:rPr>
          <w:rFonts w:hint="eastAsia" w:ascii="华文宋体" w:hAnsi="华文宋体" w:eastAsia="华文宋体" w:cs="华文宋体"/>
          <w:b/>
          <w:color w:val="auto"/>
          <w:sz w:val="24"/>
          <w:szCs w:val="24"/>
          <w:highlight w:val="none"/>
        </w:rPr>
        <w:t>八、推荐成为成交供应商候选供应商名单</w:t>
      </w:r>
      <w:bookmarkEnd w:id="103"/>
    </w:p>
    <w:p>
      <w:pPr>
        <w:pStyle w:val="8"/>
        <w:spacing w:line="480" w:lineRule="exact"/>
        <w:ind w:firstLine="480"/>
        <w:rPr>
          <w:rFonts w:hint="eastAsia" w:ascii="华文宋体" w:hAnsi="华文宋体" w:eastAsia="华文宋体" w:cs="华文宋体"/>
          <w:color w:val="auto"/>
          <w:kern w:val="2"/>
          <w:sz w:val="24"/>
          <w:szCs w:val="24"/>
          <w:highlight w:val="none"/>
        </w:rPr>
      </w:pPr>
      <w:bookmarkStart w:id="104" w:name="_Toc255669477"/>
      <w:r>
        <w:rPr>
          <w:rFonts w:hint="eastAsia" w:ascii="华文宋体" w:hAnsi="华文宋体" w:eastAsia="华文宋体" w:cs="华文宋体"/>
          <w:color w:val="auto"/>
          <w:kern w:val="2"/>
          <w:sz w:val="24"/>
          <w:szCs w:val="24"/>
          <w:highlight w:val="none"/>
        </w:rPr>
        <w:t>磋商小组将技术、商务、价格各项得分相加按四舍五入原则精确到小数点后两位，将综合评分按由高到低顺序排列。综合评分相同的，按评审价由低到高顺序排列；综合评分相同，且评审价相同的，按技术评分由高到低顺序排列。综合评分相同，且评审价和技术评分均相同的，名次由磋商小组抽签决定。</w:t>
      </w:r>
      <w:bookmarkEnd w:id="104"/>
      <w:r>
        <w:rPr>
          <w:rFonts w:hint="eastAsia" w:ascii="华文宋体" w:hAnsi="华文宋体" w:eastAsia="华文宋体" w:cs="华文宋体"/>
          <w:color w:val="auto"/>
          <w:kern w:val="2"/>
          <w:sz w:val="24"/>
          <w:szCs w:val="24"/>
          <w:highlight w:val="none"/>
        </w:rPr>
        <w:t>磋商小组按上述排列向采购人推荐第1至第2名为成交候选供应商。（提供相同品牌产品（非单一产品采购，以核心产品为准。多个核心产品的，有一种产品品牌相同，即视为提供相同品牌产品），评审后得分最高的同品牌供应商获得成交供应商推荐资格；评审得分相同的，由采购人或者采购人委托磋商小组采取随机抽取方式确定，其他同品牌供应商不作为成交候选供应商）</w:t>
      </w:r>
    </w:p>
    <w:p>
      <w:pPr>
        <w:pStyle w:val="8"/>
        <w:spacing w:line="480" w:lineRule="exact"/>
        <w:ind w:firstLine="0"/>
        <w:rPr>
          <w:rFonts w:hint="eastAsia" w:ascii="华文宋体" w:hAnsi="华文宋体" w:eastAsia="华文宋体" w:cs="华文宋体"/>
          <w:color w:val="auto"/>
          <w:kern w:val="2"/>
          <w:sz w:val="24"/>
          <w:szCs w:val="24"/>
          <w:highlight w:val="none"/>
        </w:rPr>
      </w:pPr>
    </w:p>
    <w:p>
      <w:pPr>
        <w:spacing w:line="480" w:lineRule="exact"/>
        <w:outlineLvl w:val="1"/>
        <w:rPr>
          <w:rFonts w:hint="eastAsia" w:ascii="华文宋体" w:hAnsi="华文宋体" w:eastAsia="华文宋体" w:cs="华文宋体"/>
          <w:b/>
          <w:color w:val="auto"/>
          <w:sz w:val="24"/>
          <w:szCs w:val="24"/>
          <w:highlight w:val="none"/>
        </w:rPr>
      </w:pPr>
      <w:r>
        <w:rPr>
          <w:rFonts w:hint="eastAsia" w:ascii="华文宋体" w:hAnsi="华文宋体" w:eastAsia="华文宋体" w:cs="华文宋体"/>
          <w:b/>
          <w:color w:val="auto"/>
          <w:sz w:val="24"/>
          <w:szCs w:val="24"/>
          <w:highlight w:val="none"/>
        </w:rPr>
        <w:t>九、评审结果</w:t>
      </w:r>
    </w:p>
    <w:p>
      <w:pPr>
        <w:pStyle w:val="8"/>
        <w:spacing w:line="480" w:lineRule="exact"/>
        <w:ind w:firstLine="480"/>
        <w:rPr>
          <w:rFonts w:hint="eastAsia" w:ascii="华文宋体" w:hAnsi="华文宋体" w:eastAsia="华文宋体" w:cs="华文宋体"/>
          <w:color w:val="auto"/>
          <w:kern w:val="2"/>
          <w:sz w:val="24"/>
          <w:szCs w:val="24"/>
          <w:highlight w:val="none"/>
        </w:rPr>
      </w:pPr>
      <w:r>
        <w:rPr>
          <w:rFonts w:hint="eastAsia" w:ascii="华文宋体" w:hAnsi="华文宋体" w:eastAsia="华文宋体" w:cs="华文宋体"/>
          <w:color w:val="auto"/>
          <w:kern w:val="2"/>
          <w:sz w:val="24"/>
          <w:szCs w:val="24"/>
          <w:highlight w:val="none"/>
        </w:rPr>
        <w:t>采购代理机构应当在评审结束后2个工作日内将评审报告送抵采购人，采购人应当自收到评审报告之日起5个工作日内，在评审报告确定的成交候选供应商名单中按顺序确定成交供应商。第一成交候选供应商放弃成为成交供应商或被依法认定成为成交供应商无效的，采购人可以按顺序选择第二成交候选供应商，也可以重新组织采购活动。成交候选供应商如出现完全并列的，采购人可按供应商须知前附表中规定的方式从中指定成交供应商。</w:t>
      </w:r>
    </w:p>
    <w:p>
      <w:pPr>
        <w:pStyle w:val="8"/>
        <w:spacing w:line="360" w:lineRule="auto"/>
        <w:ind w:firstLine="480"/>
        <w:jc w:val="center"/>
        <w:outlineLvl w:val="0"/>
        <w:rPr>
          <w:rFonts w:hint="eastAsia" w:ascii="华文宋体" w:hAnsi="华文宋体" w:eastAsia="华文宋体" w:cs="华文宋体"/>
          <w:color w:val="auto"/>
          <w:kern w:val="2"/>
          <w:sz w:val="24"/>
          <w:szCs w:val="24"/>
          <w:highlight w:val="none"/>
        </w:rPr>
      </w:pPr>
      <w:r>
        <w:rPr>
          <w:rFonts w:hint="eastAsia" w:ascii="华文宋体" w:hAnsi="华文宋体" w:eastAsia="华文宋体" w:cs="华文宋体"/>
          <w:color w:val="auto"/>
          <w:kern w:val="2"/>
          <w:sz w:val="24"/>
          <w:szCs w:val="24"/>
          <w:highlight w:val="none"/>
        </w:rPr>
        <w:br w:type="page"/>
      </w:r>
      <w:bookmarkStart w:id="105" w:name="_Toc403491566"/>
      <w:bookmarkStart w:id="106" w:name="_Toc30426"/>
      <w:bookmarkStart w:id="107" w:name="_Toc17852"/>
      <w:bookmarkStart w:id="108" w:name="_Toc19520"/>
      <w:bookmarkStart w:id="109" w:name="_Toc21099"/>
      <w:bookmarkStart w:id="110" w:name="_Toc98035090"/>
      <w:bookmarkStart w:id="111" w:name="_Toc98579611"/>
      <w:bookmarkStart w:id="112" w:name="_Toc98580294"/>
      <w:bookmarkStart w:id="113" w:name="_Toc98579070"/>
      <w:bookmarkStart w:id="114" w:name="_Toc42394518"/>
      <w:bookmarkStart w:id="115" w:name="_Toc46308532"/>
      <w:bookmarkStart w:id="116" w:name="_Toc41723937"/>
      <w:bookmarkStart w:id="117" w:name="_Toc50276205"/>
      <w:bookmarkStart w:id="118" w:name="_Toc46308688"/>
      <w:bookmarkStart w:id="119" w:name="_Toc41884707"/>
      <w:bookmarkStart w:id="120" w:name="_Toc50276166"/>
      <w:bookmarkStart w:id="121" w:name="_Toc98579012"/>
      <w:bookmarkStart w:id="122" w:name="_Toc42313173"/>
      <w:bookmarkStart w:id="123" w:name="_Toc42394674"/>
    </w:p>
    <w:p>
      <w:pPr>
        <w:pStyle w:val="8"/>
        <w:spacing w:line="360" w:lineRule="auto"/>
        <w:ind w:firstLine="0"/>
        <w:jc w:val="center"/>
        <w:outlineLvl w:val="0"/>
        <w:rPr>
          <w:rFonts w:hint="eastAsia" w:ascii="华文宋体" w:hAnsi="华文宋体" w:eastAsia="华文宋体" w:cs="华文宋体"/>
          <w:color w:val="auto"/>
          <w:sz w:val="40"/>
          <w:szCs w:val="40"/>
          <w:highlight w:val="none"/>
        </w:rPr>
      </w:pPr>
      <w:bookmarkStart w:id="124" w:name="_Toc525322209"/>
      <w:bookmarkStart w:id="125" w:name="_Toc10649_WPSOffice_Level2"/>
      <w:bookmarkStart w:id="126" w:name="_Toc9968"/>
      <w:bookmarkStart w:id="127" w:name="_Toc3677"/>
      <w:bookmarkStart w:id="128" w:name="_Toc1581"/>
      <w:bookmarkStart w:id="129" w:name="_Toc11738"/>
      <w:bookmarkStart w:id="130" w:name="_Toc25475"/>
      <w:r>
        <w:rPr>
          <w:rFonts w:hint="eastAsia" w:ascii="华文宋体" w:hAnsi="华文宋体" w:eastAsia="华文宋体" w:cs="华文宋体"/>
          <w:b/>
          <w:bCs/>
          <w:color w:val="auto"/>
          <w:kern w:val="44"/>
          <w:sz w:val="40"/>
          <w:szCs w:val="40"/>
          <w:highlight w:val="none"/>
        </w:rPr>
        <w:t>第五章 拟签订的合同文本</w:t>
      </w:r>
      <w:bookmarkEnd w:id="105"/>
      <w:bookmarkEnd w:id="106"/>
      <w:bookmarkEnd w:id="107"/>
      <w:bookmarkEnd w:id="108"/>
      <w:bookmarkEnd w:id="109"/>
      <w:bookmarkEnd w:id="124"/>
      <w:bookmarkEnd w:id="125"/>
      <w:bookmarkEnd w:id="126"/>
      <w:bookmarkEnd w:id="127"/>
      <w:bookmarkEnd w:id="128"/>
      <w:bookmarkEnd w:id="129"/>
      <w:bookmarkEnd w:id="130"/>
    </w:p>
    <w:p>
      <w:pPr>
        <w:pStyle w:val="47"/>
        <w:rPr>
          <w:rFonts w:hint="eastAsia" w:ascii="华文宋体" w:hAnsi="华文宋体" w:eastAsia="华文宋体" w:cs="华文宋体"/>
          <w:color w:val="auto"/>
          <w:highlight w:val="none"/>
        </w:rPr>
      </w:pPr>
      <w:bookmarkStart w:id="131" w:name="EB96da972056de4385935c5eeed9aedf73"/>
    </w:p>
    <w:p>
      <w:pPr>
        <w:tabs>
          <w:tab w:val="left" w:pos="720"/>
        </w:tabs>
        <w:autoSpaceDE w:val="0"/>
        <w:autoSpaceDN w:val="0"/>
        <w:adjustRightInd w:val="0"/>
        <w:spacing w:line="360" w:lineRule="auto"/>
        <w:jc w:val="center"/>
        <w:rPr>
          <w:rFonts w:hint="eastAsia" w:ascii="华文宋体" w:hAnsi="华文宋体" w:eastAsia="华文宋体" w:cs="华文宋体"/>
          <w:b/>
          <w:color w:val="auto"/>
          <w:kern w:val="0"/>
          <w:sz w:val="24"/>
          <w:szCs w:val="21"/>
          <w:highlight w:val="none"/>
        </w:rPr>
      </w:pPr>
      <w:r>
        <w:rPr>
          <w:rFonts w:hint="eastAsia" w:ascii="华文宋体" w:hAnsi="华文宋体" w:eastAsia="华文宋体" w:cs="华文宋体"/>
          <w:b/>
          <w:color w:val="auto"/>
          <w:kern w:val="0"/>
          <w:sz w:val="24"/>
          <w:szCs w:val="21"/>
          <w:highlight w:val="none"/>
        </w:rPr>
        <w:t>合同通用条款</w:t>
      </w:r>
    </w:p>
    <w:p>
      <w:pPr>
        <w:autoSpaceDE w:val="0"/>
        <w:autoSpaceDN w:val="0"/>
        <w:adjustRightInd w:val="0"/>
        <w:spacing w:line="360" w:lineRule="auto"/>
        <w:jc w:val="left"/>
        <w:rPr>
          <w:rFonts w:hint="eastAsia" w:ascii="华文宋体" w:hAnsi="华文宋体" w:eastAsia="华文宋体" w:cs="华文宋体"/>
          <w:b/>
          <w:color w:val="auto"/>
          <w:kern w:val="0"/>
          <w:sz w:val="21"/>
          <w:szCs w:val="21"/>
          <w:highlight w:val="none"/>
        </w:rPr>
      </w:pPr>
      <w:r>
        <w:rPr>
          <w:rFonts w:hint="eastAsia" w:ascii="华文宋体" w:hAnsi="华文宋体" w:eastAsia="华文宋体" w:cs="华文宋体"/>
          <w:b/>
          <w:color w:val="auto"/>
          <w:kern w:val="0"/>
          <w:sz w:val="21"/>
          <w:szCs w:val="21"/>
          <w:highlight w:val="none"/>
        </w:rPr>
        <w:t>甲    方</w:t>
      </w:r>
      <w:r>
        <w:rPr>
          <w:rFonts w:hint="eastAsia" w:ascii="华文宋体" w:hAnsi="华文宋体" w:eastAsia="华文宋体" w:cs="华文宋体"/>
          <w:color w:val="auto"/>
          <w:kern w:val="0"/>
          <w:sz w:val="21"/>
          <w:szCs w:val="21"/>
          <w:highlight w:val="none"/>
        </w:rPr>
        <w:t>（采购人）</w:t>
      </w:r>
      <w:r>
        <w:rPr>
          <w:rFonts w:hint="eastAsia" w:ascii="华文宋体" w:hAnsi="华文宋体" w:eastAsia="华文宋体" w:cs="华文宋体"/>
          <w:b/>
          <w:color w:val="auto"/>
          <w:kern w:val="0"/>
          <w:sz w:val="21"/>
          <w:szCs w:val="21"/>
          <w:highlight w:val="none"/>
        </w:rPr>
        <w:t>：</w:t>
      </w:r>
    </w:p>
    <w:p>
      <w:pPr>
        <w:autoSpaceDE w:val="0"/>
        <w:autoSpaceDN w:val="0"/>
        <w:adjustRightIn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电    话：           　   传  真：          住  所：</w:t>
      </w:r>
    </w:p>
    <w:p>
      <w:pPr>
        <w:autoSpaceDE w:val="0"/>
        <w:autoSpaceDN w:val="0"/>
        <w:adjustRightInd w:val="0"/>
        <w:spacing w:line="360" w:lineRule="auto"/>
        <w:jc w:val="left"/>
        <w:rPr>
          <w:rFonts w:hint="eastAsia" w:ascii="华文宋体" w:hAnsi="华文宋体" w:eastAsia="华文宋体" w:cs="华文宋体"/>
          <w:b/>
          <w:color w:val="auto"/>
          <w:kern w:val="0"/>
          <w:sz w:val="21"/>
          <w:szCs w:val="21"/>
          <w:highlight w:val="none"/>
        </w:rPr>
      </w:pPr>
    </w:p>
    <w:p>
      <w:pPr>
        <w:autoSpaceDE w:val="0"/>
        <w:autoSpaceDN w:val="0"/>
        <w:adjustRightInd w:val="0"/>
        <w:spacing w:line="360" w:lineRule="auto"/>
        <w:jc w:val="left"/>
        <w:rPr>
          <w:rFonts w:hint="eastAsia" w:ascii="华文宋体" w:hAnsi="华文宋体" w:eastAsia="华文宋体" w:cs="华文宋体"/>
          <w:b/>
          <w:color w:val="auto"/>
          <w:kern w:val="0"/>
          <w:sz w:val="21"/>
          <w:szCs w:val="21"/>
          <w:highlight w:val="none"/>
          <w:lang w:eastAsia="zh-CN"/>
        </w:rPr>
      </w:pPr>
      <w:r>
        <w:rPr>
          <w:rFonts w:hint="eastAsia" w:ascii="华文宋体" w:hAnsi="华文宋体" w:eastAsia="华文宋体" w:cs="华文宋体"/>
          <w:b/>
          <w:color w:val="auto"/>
          <w:kern w:val="0"/>
          <w:sz w:val="21"/>
          <w:szCs w:val="21"/>
          <w:highlight w:val="none"/>
        </w:rPr>
        <w:t>乙    方</w:t>
      </w:r>
      <w:r>
        <w:rPr>
          <w:rFonts w:hint="eastAsia" w:ascii="华文宋体" w:hAnsi="华文宋体" w:eastAsia="华文宋体" w:cs="华文宋体"/>
          <w:color w:val="auto"/>
          <w:kern w:val="0"/>
          <w:sz w:val="21"/>
          <w:szCs w:val="21"/>
          <w:highlight w:val="none"/>
        </w:rPr>
        <w:t>（成交供应商）</w:t>
      </w:r>
      <w:r>
        <w:rPr>
          <w:rFonts w:hint="eastAsia" w:ascii="华文宋体" w:hAnsi="华文宋体" w:eastAsia="华文宋体" w:cs="华文宋体"/>
          <w:b/>
          <w:color w:val="auto"/>
          <w:kern w:val="0"/>
          <w:sz w:val="21"/>
          <w:szCs w:val="21"/>
          <w:highlight w:val="none"/>
        </w:rPr>
        <w:t>：</w:t>
      </w:r>
    </w:p>
    <w:p>
      <w:pPr>
        <w:autoSpaceDE w:val="0"/>
        <w:autoSpaceDN w:val="0"/>
        <w:adjustRightIn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 xml:space="preserve">电    话：                传  真：           住  所：   </w:t>
      </w:r>
    </w:p>
    <w:p>
      <w:pPr>
        <w:autoSpaceDE w:val="0"/>
        <w:autoSpaceDN w:val="0"/>
        <w:adjustRightIn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 xml:space="preserve">项目名称：                                   项目编号：  </w:t>
      </w:r>
    </w:p>
    <w:p>
      <w:pPr>
        <w:autoSpaceDE w:val="0"/>
        <w:autoSpaceDN w:val="0"/>
        <w:adjustRightInd w:val="0"/>
        <w:spacing w:line="360" w:lineRule="auto"/>
        <w:ind w:firstLine="420" w:firstLineChars="20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根据</w:t>
      </w:r>
      <w:r>
        <w:rPr>
          <w:rFonts w:hint="eastAsia" w:ascii="华文宋体" w:hAnsi="华文宋体" w:eastAsia="华文宋体" w:cs="华文宋体"/>
          <w:color w:val="auto"/>
          <w:kern w:val="0"/>
          <w:sz w:val="21"/>
          <w:szCs w:val="21"/>
          <w:highlight w:val="none"/>
          <w:u w:val="single"/>
        </w:rPr>
        <w:t xml:space="preserve"> 广东省广州市越秀区消防救援大队2023年消防车辆维修和保养服务采购项目 </w:t>
      </w:r>
      <w:r>
        <w:rPr>
          <w:rFonts w:hint="eastAsia" w:ascii="华文宋体" w:hAnsi="华文宋体" w:eastAsia="华文宋体" w:cs="华文宋体"/>
          <w:color w:val="auto"/>
          <w:kern w:val="0"/>
          <w:sz w:val="21"/>
          <w:szCs w:val="21"/>
          <w:highlight w:val="none"/>
        </w:rPr>
        <w:t>（项目编号：GDGC2304CS18）的采购结果，按照《中华人民共和国政府采购法》及其实施条例、《中华人民共和国民法典》的规定，</w:t>
      </w:r>
      <w:r>
        <w:rPr>
          <w:rFonts w:hint="eastAsia" w:ascii="华文宋体" w:hAnsi="华文宋体" w:eastAsia="华文宋体" w:cs="华文宋体"/>
          <w:color w:val="auto"/>
          <w:kern w:val="28"/>
          <w:sz w:val="21"/>
          <w:szCs w:val="21"/>
          <w:highlight w:val="none"/>
        </w:rPr>
        <w:t>经双方协商，</w:t>
      </w:r>
      <w:r>
        <w:rPr>
          <w:rFonts w:hint="eastAsia" w:ascii="华文宋体" w:hAnsi="华文宋体" w:eastAsia="华文宋体" w:cs="华文宋体"/>
          <w:color w:val="auto"/>
          <w:kern w:val="0"/>
          <w:sz w:val="21"/>
          <w:szCs w:val="21"/>
          <w:highlight w:val="none"/>
        </w:rPr>
        <w:t>本着平等互利和诚实信用的原则，</w:t>
      </w:r>
      <w:r>
        <w:rPr>
          <w:rFonts w:hint="eastAsia" w:ascii="华文宋体" w:hAnsi="华文宋体" w:eastAsia="华文宋体" w:cs="华文宋体"/>
          <w:color w:val="auto"/>
          <w:kern w:val="28"/>
          <w:sz w:val="21"/>
          <w:szCs w:val="21"/>
          <w:highlight w:val="none"/>
        </w:rPr>
        <w:t>一致同意签订本合同如下</w:t>
      </w:r>
      <w:r>
        <w:rPr>
          <w:rFonts w:hint="eastAsia" w:ascii="华文宋体" w:hAnsi="华文宋体" w:eastAsia="华文宋体" w:cs="华文宋体"/>
          <w:color w:val="auto"/>
          <w:kern w:val="0"/>
          <w:sz w:val="21"/>
          <w:szCs w:val="21"/>
          <w:highlight w:val="none"/>
        </w:rPr>
        <w:t>。</w:t>
      </w:r>
    </w:p>
    <w:p>
      <w:pPr>
        <w:numPr>
          <w:ilvl w:val="0"/>
          <w:numId w:val="138"/>
        </w:numPr>
        <w:autoSpaceDE w:val="0"/>
        <w:autoSpaceDN w:val="0"/>
        <w:adjustRightInd w:val="0"/>
        <w:spacing w:line="360" w:lineRule="auto"/>
        <w:ind w:left="443" w:hanging="441" w:hangingChars="210"/>
        <w:jc w:val="left"/>
        <w:outlineLvl w:val="2"/>
        <w:rPr>
          <w:rFonts w:hint="eastAsia" w:ascii="华文宋体" w:hAnsi="华文宋体" w:eastAsia="华文宋体" w:cs="华文宋体"/>
          <w:b/>
          <w:color w:val="auto"/>
          <w:kern w:val="0"/>
          <w:sz w:val="21"/>
          <w:szCs w:val="21"/>
          <w:highlight w:val="none"/>
        </w:rPr>
      </w:pPr>
      <w:r>
        <w:rPr>
          <w:rFonts w:hint="eastAsia" w:ascii="华文宋体" w:hAnsi="华文宋体" w:eastAsia="华文宋体" w:cs="华文宋体"/>
          <w:b/>
          <w:color w:val="auto"/>
          <w:kern w:val="0"/>
          <w:sz w:val="21"/>
          <w:szCs w:val="21"/>
          <w:highlight w:val="none"/>
        </w:rPr>
        <w:t>采购标的、数量</w:t>
      </w:r>
    </w:p>
    <w:tbl>
      <w:tblPr>
        <w:tblStyle w:val="30"/>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022"/>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tabs>
                <w:tab w:val="left" w:pos="426"/>
              </w:tabs>
              <w:autoSpaceDE w:val="0"/>
              <w:autoSpaceDN w:val="0"/>
              <w:adjustRightInd w:val="0"/>
              <w:spacing w:line="360" w:lineRule="auto"/>
              <w:jc w:val="center"/>
              <w:outlineLvl w:val="2"/>
              <w:rPr>
                <w:rFonts w:hint="eastAsia" w:ascii="华文宋体" w:hAnsi="华文宋体" w:eastAsia="华文宋体" w:cs="华文宋体"/>
                <w:b/>
                <w:color w:val="auto"/>
                <w:kern w:val="0"/>
                <w:sz w:val="20"/>
                <w:szCs w:val="21"/>
                <w:highlight w:val="none"/>
              </w:rPr>
            </w:pPr>
            <w:r>
              <w:rPr>
                <w:rFonts w:hint="eastAsia" w:ascii="华文宋体" w:hAnsi="华文宋体" w:eastAsia="华文宋体" w:cs="华文宋体"/>
                <w:b/>
                <w:color w:val="auto"/>
                <w:kern w:val="0"/>
                <w:sz w:val="20"/>
                <w:szCs w:val="21"/>
                <w:highlight w:val="none"/>
              </w:rPr>
              <w:t>序号</w:t>
            </w:r>
          </w:p>
        </w:tc>
        <w:tc>
          <w:tcPr>
            <w:tcW w:w="5022" w:type="dxa"/>
            <w:noWrap w:val="0"/>
            <w:vAlign w:val="top"/>
          </w:tcPr>
          <w:p>
            <w:pPr>
              <w:tabs>
                <w:tab w:val="left" w:pos="426"/>
              </w:tabs>
              <w:autoSpaceDE w:val="0"/>
              <w:autoSpaceDN w:val="0"/>
              <w:adjustRightInd w:val="0"/>
              <w:spacing w:line="360" w:lineRule="auto"/>
              <w:jc w:val="center"/>
              <w:outlineLvl w:val="2"/>
              <w:rPr>
                <w:rFonts w:hint="eastAsia" w:ascii="华文宋体" w:hAnsi="华文宋体" w:eastAsia="华文宋体" w:cs="华文宋体"/>
                <w:color w:val="auto"/>
                <w:kern w:val="0"/>
                <w:sz w:val="20"/>
                <w:szCs w:val="21"/>
                <w:highlight w:val="none"/>
              </w:rPr>
            </w:pPr>
            <w:r>
              <w:rPr>
                <w:rFonts w:hint="eastAsia" w:ascii="华文宋体" w:hAnsi="华文宋体" w:eastAsia="华文宋体" w:cs="华文宋体"/>
                <w:b/>
                <w:color w:val="auto"/>
                <w:kern w:val="0"/>
                <w:sz w:val="20"/>
                <w:szCs w:val="21"/>
                <w:highlight w:val="none"/>
              </w:rPr>
              <w:t>采购标的</w:t>
            </w:r>
          </w:p>
        </w:tc>
        <w:tc>
          <w:tcPr>
            <w:tcW w:w="3132" w:type="dxa"/>
            <w:noWrap w:val="0"/>
            <w:vAlign w:val="top"/>
          </w:tcPr>
          <w:p>
            <w:pPr>
              <w:tabs>
                <w:tab w:val="left" w:pos="426"/>
              </w:tabs>
              <w:autoSpaceDE w:val="0"/>
              <w:autoSpaceDN w:val="0"/>
              <w:adjustRightInd w:val="0"/>
              <w:spacing w:line="360" w:lineRule="auto"/>
              <w:jc w:val="center"/>
              <w:outlineLvl w:val="2"/>
              <w:rPr>
                <w:rFonts w:hint="eastAsia" w:ascii="华文宋体" w:hAnsi="华文宋体" w:eastAsia="华文宋体" w:cs="华文宋体"/>
                <w:b/>
                <w:color w:val="auto"/>
                <w:kern w:val="0"/>
                <w:sz w:val="20"/>
                <w:szCs w:val="21"/>
                <w:highlight w:val="none"/>
              </w:rPr>
            </w:pPr>
            <w:r>
              <w:rPr>
                <w:rFonts w:hint="eastAsia" w:ascii="华文宋体" w:hAnsi="华文宋体" w:eastAsia="华文宋体" w:cs="华文宋体"/>
                <w:b/>
                <w:color w:val="auto"/>
                <w:kern w:val="0"/>
                <w:sz w:val="2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tabs>
                <w:tab w:val="left" w:pos="426"/>
              </w:tabs>
              <w:autoSpaceDE w:val="0"/>
              <w:autoSpaceDN w:val="0"/>
              <w:adjustRightInd w:val="0"/>
              <w:spacing w:line="360" w:lineRule="auto"/>
              <w:jc w:val="center"/>
              <w:outlineLvl w:val="2"/>
              <w:rPr>
                <w:rFonts w:hint="eastAsia" w:ascii="华文宋体" w:hAnsi="华文宋体" w:eastAsia="华文宋体" w:cs="华文宋体"/>
                <w:color w:val="auto"/>
                <w:kern w:val="0"/>
                <w:sz w:val="20"/>
                <w:szCs w:val="21"/>
                <w:highlight w:val="none"/>
              </w:rPr>
            </w:pPr>
            <w:r>
              <w:rPr>
                <w:rFonts w:hint="eastAsia" w:ascii="华文宋体" w:hAnsi="华文宋体" w:eastAsia="华文宋体" w:cs="华文宋体"/>
                <w:color w:val="auto"/>
                <w:kern w:val="0"/>
                <w:sz w:val="20"/>
                <w:szCs w:val="21"/>
                <w:highlight w:val="none"/>
              </w:rPr>
              <w:t>1</w:t>
            </w:r>
          </w:p>
        </w:tc>
        <w:tc>
          <w:tcPr>
            <w:tcW w:w="5022" w:type="dxa"/>
            <w:noWrap w:val="0"/>
            <w:vAlign w:val="top"/>
          </w:tcPr>
          <w:p>
            <w:pPr>
              <w:tabs>
                <w:tab w:val="left" w:pos="426"/>
              </w:tabs>
              <w:autoSpaceDE w:val="0"/>
              <w:autoSpaceDN w:val="0"/>
              <w:adjustRightInd w:val="0"/>
              <w:spacing w:line="360" w:lineRule="auto"/>
              <w:jc w:val="left"/>
              <w:outlineLvl w:val="2"/>
              <w:rPr>
                <w:rFonts w:hint="eastAsia" w:ascii="华文宋体" w:hAnsi="华文宋体" w:eastAsia="华文宋体" w:cs="华文宋体"/>
                <w:color w:val="auto"/>
                <w:kern w:val="0"/>
                <w:sz w:val="20"/>
                <w:szCs w:val="21"/>
                <w:highlight w:val="none"/>
              </w:rPr>
            </w:pPr>
          </w:p>
        </w:tc>
        <w:tc>
          <w:tcPr>
            <w:tcW w:w="3132" w:type="dxa"/>
            <w:noWrap w:val="0"/>
            <w:vAlign w:val="top"/>
          </w:tcPr>
          <w:p>
            <w:pPr>
              <w:tabs>
                <w:tab w:val="left" w:pos="426"/>
              </w:tabs>
              <w:autoSpaceDE w:val="0"/>
              <w:autoSpaceDN w:val="0"/>
              <w:adjustRightInd w:val="0"/>
              <w:spacing w:line="360" w:lineRule="auto"/>
              <w:jc w:val="left"/>
              <w:outlineLvl w:val="2"/>
              <w:rPr>
                <w:rFonts w:hint="eastAsia" w:ascii="华文宋体" w:hAnsi="华文宋体" w:eastAsia="华文宋体" w:cs="华文宋体"/>
                <w:color w:val="auto"/>
                <w:kern w:val="0"/>
                <w:sz w:val="20"/>
                <w:szCs w:val="21"/>
                <w:highlight w:val="none"/>
              </w:rPr>
            </w:pPr>
          </w:p>
        </w:tc>
      </w:tr>
    </w:tbl>
    <w:p>
      <w:pPr>
        <w:numPr>
          <w:ilvl w:val="0"/>
          <w:numId w:val="138"/>
        </w:numPr>
        <w:autoSpaceDE w:val="0"/>
        <w:autoSpaceDN w:val="0"/>
        <w:adjustRightInd w:val="0"/>
        <w:spacing w:line="360" w:lineRule="auto"/>
        <w:ind w:left="443" w:hanging="441" w:hangingChars="210"/>
        <w:jc w:val="left"/>
        <w:outlineLvl w:val="2"/>
        <w:rPr>
          <w:rFonts w:hint="eastAsia" w:ascii="华文宋体" w:hAnsi="华文宋体" w:eastAsia="华文宋体" w:cs="华文宋体"/>
          <w:b/>
          <w:color w:val="auto"/>
          <w:kern w:val="0"/>
          <w:sz w:val="21"/>
          <w:szCs w:val="21"/>
          <w:highlight w:val="none"/>
        </w:rPr>
      </w:pPr>
      <w:bookmarkStart w:id="132" w:name="_Toc435540759"/>
      <w:r>
        <w:rPr>
          <w:rFonts w:hint="eastAsia" w:ascii="华文宋体" w:hAnsi="华文宋体" w:eastAsia="华文宋体" w:cs="华文宋体"/>
          <w:b/>
          <w:color w:val="auto"/>
          <w:kern w:val="0"/>
          <w:sz w:val="21"/>
          <w:szCs w:val="21"/>
          <w:highlight w:val="none"/>
        </w:rPr>
        <w:t>合同金额</w:t>
      </w:r>
      <w:bookmarkEnd w:id="132"/>
    </w:p>
    <w:p>
      <w:pPr>
        <w:spacing w:line="360" w:lineRule="auto"/>
        <w:ind w:firstLine="420" w:firstLineChars="200"/>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color w:val="auto"/>
          <w:sz w:val="21"/>
          <w:szCs w:val="21"/>
          <w:highlight w:val="none"/>
        </w:rPr>
        <w:t>实际结算金额=维修项目工时费收费标准×维修项目工时费折扣率+零配件进货价格×（1+附加管理费费率）。</w:t>
      </w:r>
    </w:p>
    <w:p>
      <w:pPr>
        <w:spacing w:line="360" w:lineRule="auto"/>
        <w:ind w:firstLine="420" w:firstLineChars="200"/>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color w:val="auto"/>
          <w:sz w:val="21"/>
          <w:szCs w:val="21"/>
          <w:highlight w:val="none"/>
        </w:rPr>
        <w:t>合同签订之日起一年内。</w:t>
      </w:r>
    </w:p>
    <w:p>
      <w:pPr>
        <w:numPr>
          <w:ilvl w:val="0"/>
          <w:numId w:val="138"/>
        </w:numPr>
        <w:autoSpaceDE w:val="0"/>
        <w:autoSpaceDN w:val="0"/>
        <w:adjustRightInd w:val="0"/>
        <w:spacing w:line="360" w:lineRule="auto"/>
        <w:ind w:left="443" w:hanging="441" w:hangingChars="210"/>
        <w:jc w:val="left"/>
        <w:outlineLvl w:val="2"/>
        <w:rPr>
          <w:rFonts w:hint="eastAsia" w:ascii="华文宋体" w:hAnsi="华文宋体" w:eastAsia="华文宋体" w:cs="华文宋体"/>
          <w:b/>
          <w:color w:val="auto"/>
          <w:kern w:val="0"/>
          <w:sz w:val="21"/>
          <w:szCs w:val="21"/>
          <w:highlight w:val="none"/>
        </w:rPr>
      </w:pPr>
      <w:bookmarkStart w:id="133" w:name="_Toc435540760"/>
      <w:r>
        <w:rPr>
          <w:rFonts w:hint="eastAsia" w:ascii="华文宋体" w:hAnsi="华文宋体" w:eastAsia="华文宋体" w:cs="华文宋体"/>
          <w:b/>
          <w:color w:val="auto"/>
          <w:kern w:val="0"/>
          <w:sz w:val="21"/>
          <w:szCs w:val="21"/>
          <w:highlight w:val="none"/>
        </w:rPr>
        <w:t>服务范围</w:t>
      </w:r>
      <w:bookmarkEnd w:id="133"/>
    </w:p>
    <w:p>
      <w:pPr>
        <w:autoSpaceDE w:val="0"/>
        <w:autoSpaceDN w:val="0"/>
        <w:adjustRightIn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　　甲方聘请乙方提供以下服务：</w:t>
      </w:r>
    </w:p>
    <w:p>
      <w:pPr>
        <w:autoSpaceDE w:val="0"/>
        <w:autoSpaceDN w:val="0"/>
        <w:adjustRightInd w:val="0"/>
        <w:spacing w:line="360" w:lineRule="auto"/>
        <w:jc w:val="left"/>
        <w:rPr>
          <w:rFonts w:hint="eastAsia" w:ascii="华文宋体" w:hAnsi="华文宋体" w:eastAsia="华文宋体" w:cs="华文宋体"/>
          <w:color w:val="auto"/>
          <w:kern w:val="0"/>
          <w:sz w:val="21"/>
          <w:szCs w:val="21"/>
          <w:highlight w:val="none"/>
          <w:u w:val="single"/>
        </w:rPr>
      </w:pPr>
      <w:r>
        <w:rPr>
          <w:rFonts w:hint="eastAsia" w:ascii="华文宋体" w:hAnsi="华文宋体" w:eastAsia="华文宋体" w:cs="华文宋体"/>
          <w:color w:val="auto"/>
          <w:kern w:val="0"/>
          <w:sz w:val="21"/>
          <w:szCs w:val="21"/>
          <w:highlight w:val="none"/>
        </w:rPr>
        <w:t>　　1．消防车辆维修、维护保养，包括提供车辆一级维护、二级维护、总成修理、车辆小修和车辆专项修理、二十四小时免费拖车服务和其他有关的消防车维修服务项目。</w:t>
      </w:r>
    </w:p>
    <w:p>
      <w:pPr>
        <w:autoSpaceDE w:val="0"/>
        <w:autoSpaceDN w:val="0"/>
        <w:adjustRightIn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　　2．……</w:t>
      </w:r>
    </w:p>
    <w:p>
      <w:pPr>
        <w:autoSpaceDE w:val="0"/>
        <w:autoSpaceDN w:val="0"/>
        <w:adjustRightInd w:val="0"/>
        <w:spacing w:line="360" w:lineRule="auto"/>
        <w:ind w:firstLine="420" w:firstLineChars="20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3．……</w:t>
      </w:r>
    </w:p>
    <w:p>
      <w:pPr>
        <w:numPr>
          <w:ilvl w:val="0"/>
          <w:numId w:val="138"/>
        </w:numPr>
        <w:autoSpaceDE w:val="0"/>
        <w:autoSpaceDN w:val="0"/>
        <w:adjustRightInd w:val="0"/>
        <w:spacing w:line="360" w:lineRule="auto"/>
        <w:ind w:left="443" w:hanging="441" w:hangingChars="210"/>
        <w:jc w:val="left"/>
        <w:outlineLvl w:val="2"/>
        <w:rPr>
          <w:rFonts w:hint="eastAsia" w:ascii="华文宋体" w:hAnsi="华文宋体" w:eastAsia="华文宋体" w:cs="华文宋体"/>
          <w:b/>
          <w:color w:val="auto"/>
          <w:kern w:val="0"/>
          <w:sz w:val="21"/>
          <w:szCs w:val="21"/>
          <w:highlight w:val="none"/>
        </w:rPr>
      </w:pPr>
      <w:r>
        <w:rPr>
          <w:rFonts w:hint="eastAsia" w:ascii="华文宋体" w:hAnsi="华文宋体" w:eastAsia="华文宋体" w:cs="华文宋体"/>
          <w:b/>
          <w:color w:val="auto"/>
          <w:kern w:val="0"/>
          <w:sz w:val="21"/>
          <w:szCs w:val="21"/>
          <w:highlight w:val="none"/>
        </w:rPr>
        <w:t>质量要求：</w:t>
      </w:r>
    </w:p>
    <w:p>
      <w:pPr>
        <w:spacing w:line="360" w:lineRule="auto"/>
        <w:ind w:firstLine="420" w:firstLineChars="200"/>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所采用的零部件、配件等材料必须符合国家或部颁标准和行业标准以及汽车维修相关标准。必须有合法的进货渠道，不得使用假冒伪劣产品或以次充好。经甲方同意，可以用替代件或旧件的，乙方必须在材料清单中加以注明，否则不得使用旧件。</w:t>
      </w:r>
    </w:p>
    <w:p>
      <w:pPr>
        <w:spacing w:line="360" w:lineRule="auto"/>
        <w:ind w:firstLine="420" w:firstLineChars="200"/>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乙方须自觉遵守国家法律、法规，合法经营。必须严格遵守《中华人民共和国交通运输行业标准机动车维修服务规范》、《交通运输部关于修改&lt;机动车维修管理规定&gt;的决定》（交通运输部令2019年第20号）及《广州市机动车维修管理规定》等相关规定。</w:t>
      </w:r>
    </w:p>
    <w:p>
      <w:pPr>
        <w:spacing w:line="360" w:lineRule="auto"/>
        <w:ind w:firstLine="420" w:firstLineChars="200"/>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乙方承诺按照《交通运输部关于修改&lt;机动车维修管理规定&gt;的决定》（交通运输部令2019年第20号）、《交通运输部办公厅关于开展汽车维修电子健康档案系统建设工作的通知》（交办运〔2017〕69号）等相关规定，配合行业主管部门严格执行汽车维修电子健康档案和机动车维修竣工出厂合格证制度。</w:t>
      </w:r>
    </w:p>
    <w:p>
      <w:pPr>
        <w:widowControl/>
        <w:tabs>
          <w:tab w:val="left" w:pos="0"/>
        </w:tabs>
        <w:spacing w:line="360" w:lineRule="auto"/>
        <w:ind w:firstLine="420" w:firstLineChars="20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乙方承诺根据《“十三五”挥发性有机物污染防治工作方案》（环大气〔2017〕121号）、《广东省挥发性有机物（VOCs）整治与减排工作方案（2018-2020年）》（粤环发〔2018〕6号）、《广州市挥发性有机物污染综合整治工作方案（2017-2020）》（穗环〔2017〕52号）及《广州市机动车维修行业挥发性有机物（VOCs）污染整治工作方案》规定，按照环保部门要求进行污染整治。</w:t>
      </w:r>
    </w:p>
    <w:p>
      <w:pPr>
        <w:widowControl/>
        <w:tabs>
          <w:tab w:val="left" w:pos="0"/>
        </w:tabs>
        <w:spacing w:line="360" w:lineRule="auto"/>
        <w:ind w:firstLine="420" w:firstLineChars="20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乙方须严格遵守《广州市机动车维修管理规定》，且具备计算机管理系统及上网条件，按交通运输主管部门和行业协会规定加入广州市维修行业互联网智能化平台。</w:t>
      </w:r>
    </w:p>
    <w:p>
      <w:pPr>
        <w:widowControl/>
        <w:tabs>
          <w:tab w:val="left" w:pos="0"/>
        </w:tabs>
        <w:spacing w:line="360" w:lineRule="auto"/>
        <w:ind w:firstLine="420" w:firstLineChars="20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乙方须推广应用机动车维修环保、节能、不解体检测和故障诊断技术，推进行业信息化建设和救援、维修服务网络化建设，乙方需具备自有的喷涂补漆场所（已取得上级环保合格证的），可自行完成涉漆业务，污水排放要符合《城镇污水排入排水管网许可管理办法》，有必要的环境保护措施。</w:t>
      </w:r>
    </w:p>
    <w:p>
      <w:pPr>
        <w:widowControl/>
        <w:tabs>
          <w:tab w:val="left" w:pos="0"/>
        </w:tabs>
        <w:spacing w:line="360" w:lineRule="auto"/>
        <w:ind w:firstLine="420" w:firstLineChars="20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乙方须有健全的维修管理制度。包括不限于质量管理制度、安全生产管理制度、车辆维修档案管理制度、人员培训制度、设备管理制度、岗位责任制度、质量控制制度及配件管理制度等</w:t>
      </w:r>
    </w:p>
    <w:p>
      <w:pPr>
        <w:widowControl/>
        <w:tabs>
          <w:tab w:val="left" w:pos="0"/>
        </w:tabs>
        <w:spacing w:line="360" w:lineRule="auto"/>
        <w:ind w:firstLine="420" w:firstLineChars="20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被修车辆达不到规定的质量标准和技术要求的，返修不得再计价收费。车辆竣工出厂执行质量保证期制度。</w:t>
      </w:r>
    </w:p>
    <w:p>
      <w:pPr>
        <w:widowControl/>
        <w:tabs>
          <w:tab w:val="left" w:pos="0"/>
        </w:tabs>
        <w:spacing w:line="360" w:lineRule="auto"/>
        <w:ind w:firstLine="420" w:firstLineChars="20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责任保障期限及车辆质量保障按照国家有关部门颁发的最新标准执行。在质量保证期内，因维修质量造成的直接经济损失，由乙方负责。</w:t>
      </w:r>
    </w:p>
    <w:p>
      <w:pPr>
        <w:widowControl/>
        <w:tabs>
          <w:tab w:val="left" w:pos="0"/>
        </w:tabs>
        <w:spacing w:line="360" w:lineRule="auto"/>
        <w:ind w:firstLine="420" w:firstLineChars="20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车辆返修率要控制在5%以内，并建立汽车维修档案，认真记录车辆维修情况。</w:t>
      </w:r>
    </w:p>
    <w:p>
      <w:pPr>
        <w:numPr>
          <w:ilvl w:val="0"/>
          <w:numId w:val="138"/>
        </w:numPr>
        <w:autoSpaceDE w:val="0"/>
        <w:autoSpaceDN w:val="0"/>
        <w:adjustRightInd w:val="0"/>
        <w:spacing w:line="360" w:lineRule="auto"/>
        <w:ind w:left="443" w:hanging="441" w:hangingChars="210"/>
        <w:jc w:val="left"/>
        <w:outlineLvl w:val="2"/>
        <w:rPr>
          <w:rFonts w:hint="eastAsia" w:ascii="华文宋体" w:hAnsi="华文宋体" w:eastAsia="华文宋体" w:cs="华文宋体"/>
          <w:b/>
          <w:color w:val="auto"/>
          <w:kern w:val="0"/>
          <w:sz w:val="21"/>
          <w:szCs w:val="21"/>
          <w:highlight w:val="none"/>
        </w:rPr>
      </w:pPr>
      <w:bookmarkStart w:id="134" w:name="_Toc435540761"/>
      <w:r>
        <w:rPr>
          <w:rFonts w:hint="eastAsia" w:ascii="华文宋体" w:hAnsi="华文宋体" w:eastAsia="华文宋体" w:cs="华文宋体"/>
          <w:b/>
          <w:color w:val="auto"/>
          <w:kern w:val="0"/>
          <w:sz w:val="21"/>
          <w:szCs w:val="21"/>
          <w:highlight w:val="none"/>
        </w:rPr>
        <w:t>甲方乙方的权利和义务</w:t>
      </w:r>
      <w:bookmarkEnd w:id="134"/>
    </w:p>
    <w:p>
      <w:pPr>
        <w:keepNext w:val="0"/>
        <w:keepLines w:val="0"/>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（一）甲方的权利和义务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315" w:firstLineChars="15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（二）乙方的权利和义务</w:t>
      </w:r>
    </w:p>
    <w:p>
      <w:pPr>
        <w:keepNext w:val="0"/>
        <w:keepLines w:val="0"/>
        <w:pageBreakBefore w:val="0"/>
        <w:widowControl w:val="0"/>
        <w:numPr>
          <w:ilvl w:val="0"/>
          <w:numId w:val="18"/>
        </w:numPr>
        <w:kinsoku/>
        <w:wordWrap/>
        <w:overflowPunct/>
        <w:topLinePunct w:val="0"/>
        <w:autoSpaceDE w:val="0"/>
        <w:autoSpaceDN w:val="0"/>
        <w:bidi w:val="0"/>
        <w:adjustRightInd w:val="0"/>
        <w:snapToGrid/>
        <w:spacing w:line="360" w:lineRule="auto"/>
        <w:ind w:left="0" w:leftChars="0" w:firstLine="315" w:firstLineChars="15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场地及设施要求</w:t>
      </w:r>
    </w:p>
    <w:p>
      <w:pPr>
        <w:keepNext w:val="0"/>
        <w:keepLines w:val="0"/>
        <w:pageBreakBefore w:val="0"/>
        <w:widowControl w:val="0"/>
        <w:numPr>
          <w:ilvl w:val="0"/>
          <w:numId w:val="139"/>
        </w:numPr>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场地符合国家规定的标准要求，停车场出入口及通道能自由进出宽度3.2M，高度4.2M的车辆,维修车间能存放长度15.4M，宽度3.2M，高度4.2M的车辆，并且交通便利（或设有合理、明显的指示标志）；</w:t>
      </w:r>
    </w:p>
    <w:p>
      <w:pPr>
        <w:keepNext w:val="0"/>
        <w:keepLines w:val="0"/>
        <w:pageBreakBefore w:val="0"/>
        <w:widowControl w:val="0"/>
        <w:numPr>
          <w:ilvl w:val="0"/>
          <w:numId w:val="139"/>
        </w:numPr>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修理车间布局合理、车间设施良好、修理工位标示明确；</w:t>
      </w:r>
    </w:p>
    <w:p>
      <w:pPr>
        <w:keepNext w:val="0"/>
        <w:keepLines w:val="0"/>
        <w:pageBreakBefore w:val="0"/>
        <w:widowControl w:val="0"/>
        <w:numPr>
          <w:ilvl w:val="0"/>
          <w:numId w:val="139"/>
        </w:numPr>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企业各功能区标志清晰，企业资质证明、员工资格证明、营业时间要明确展示；</w:t>
      </w:r>
    </w:p>
    <w:p>
      <w:pPr>
        <w:keepNext w:val="0"/>
        <w:keepLines w:val="0"/>
        <w:pageBreakBefore w:val="0"/>
        <w:widowControl w:val="0"/>
        <w:numPr>
          <w:ilvl w:val="0"/>
          <w:numId w:val="139"/>
        </w:numPr>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保留足够的停车场地和接待区，接待区要有满足客户登记和休息的设施。</w:t>
      </w:r>
    </w:p>
    <w:p>
      <w:pPr>
        <w:numPr>
          <w:ilvl w:val="0"/>
          <w:numId w:val="18"/>
        </w:numPr>
        <w:tabs>
          <w:tab w:val="left" w:pos="0"/>
        </w:tabs>
        <w:autoSpaceDE w:val="0"/>
        <w:autoSpaceDN w:val="0"/>
        <w:adjustRightInd w:val="0"/>
        <w:spacing w:line="360" w:lineRule="auto"/>
        <w:ind w:left="270" w:leftChars="150" w:firstLine="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经营要求</w:t>
      </w:r>
    </w:p>
    <w:p>
      <w:pPr>
        <w:keepNext w:val="0"/>
        <w:keepLines w:val="0"/>
        <w:pageBreakBefore w:val="0"/>
        <w:widowControl w:val="0"/>
        <w:numPr>
          <w:ilvl w:val="0"/>
          <w:numId w:val="14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日常运作（接车、维修、交车、结算、投诉、索赔）要做到规范化、制度化，实行定人定岗，严格落实岗位责任制度，形成岗位责任追究制度，促进生产管理活动有秩序地进行。</w:t>
      </w:r>
    </w:p>
    <w:p>
      <w:pPr>
        <w:keepNext w:val="0"/>
        <w:keepLines w:val="0"/>
        <w:pageBreakBefore w:val="0"/>
        <w:widowControl w:val="0"/>
        <w:numPr>
          <w:ilvl w:val="0"/>
          <w:numId w:val="14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接受委托维修时，维修项目和维修费用（工时费和配件费）都必须由甲方签名认可，乙方在标价时，应编制维修项目明细表，确保甲方对维修内容及其细节的知情权。</w:t>
      </w:r>
    </w:p>
    <w:p>
      <w:pPr>
        <w:keepNext w:val="0"/>
        <w:keepLines w:val="0"/>
        <w:pageBreakBefore w:val="0"/>
        <w:widowControl w:val="0"/>
        <w:numPr>
          <w:ilvl w:val="0"/>
          <w:numId w:val="14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乙方对甲方车辆应当优先安排维修，车辆小修、保养当天完成，车辆在修时间整车维修不超过10天，总成维修不超过5天。需疑难零配件的特殊车辆维修或试过出险车辆维修，应视筹措配件难易程度或车辆损伤程度，由双方协调维修工期。</w:t>
      </w:r>
    </w:p>
    <w:p>
      <w:pPr>
        <w:keepNext w:val="0"/>
        <w:keepLines w:val="0"/>
        <w:pageBreakBefore w:val="0"/>
        <w:widowControl w:val="0"/>
        <w:numPr>
          <w:ilvl w:val="0"/>
          <w:numId w:val="14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检验人员必须在现场对车辆进行诊断，初步确定维修项目，并要充分征求甲方的意见。</w:t>
      </w:r>
    </w:p>
    <w:p>
      <w:pPr>
        <w:keepNext w:val="0"/>
        <w:keepLines w:val="0"/>
        <w:pageBreakBefore w:val="0"/>
        <w:widowControl w:val="0"/>
        <w:numPr>
          <w:ilvl w:val="0"/>
          <w:numId w:val="14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工作单上没有的项目，在维修过程中发现某些项目是必须追加的，维修人员应立即告知调度或技术负责人，确认后，在维修前应事先通知甲方，征得甲方同意，方能增加费用开始施工，并同时要追加工作单或在原工作单上补项。</w:t>
      </w:r>
    </w:p>
    <w:p>
      <w:pPr>
        <w:keepNext w:val="0"/>
        <w:keepLines w:val="0"/>
        <w:pageBreakBefore w:val="0"/>
        <w:widowControl w:val="0"/>
        <w:numPr>
          <w:ilvl w:val="0"/>
          <w:numId w:val="14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零配（部）件要求：所采用的零配（部）件等材料必须符合国家标准，不得使用假冒伪劣产品或以次充好，以旧顶新。特殊情况下，经送修人同意，在保证安全质量的前提下，可以用旧件或副厂件。不论何种情况更换的零配（部）件均应在装配前取得送修人认可并在维修单上签字同意。消防车修理企业必须在材料电脑清单中注明为原厂件或副厂件或旧件。</w:t>
      </w:r>
    </w:p>
    <w:p>
      <w:pPr>
        <w:keepNext w:val="0"/>
        <w:keepLines w:val="0"/>
        <w:pageBreakBefore w:val="0"/>
        <w:widowControl w:val="0"/>
        <w:numPr>
          <w:ilvl w:val="0"/>
          <w:numId w:val="14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对可以维修的部件，不得以换代修；不得与任何人串通，虚假修车或虚报维修项目，损害车属单位的利益，严禁送修人员或单位向乙方提出非分要求。需要更换的新部件（单件200元以上、成套500元以上）要制档备查，妥善保管好每一辆维修车所更换的旧件（必须与要换的新部件相符，如送修单位需要旧件，签字后可取回），单一打包，统一存放，到了一定批量时，甲方根据该车辆维修电脑清单逐一审核、处理，未经审批不得擅自丢弃。</w:t>
      </w:r>
    </w:p>
    <w:p>
      <w:pPr>
        <w:keepNext w:val="0"/>
        <w:keepLines w:val="0"/>
        <w:pageBreakBefore w:val="0"/>
        <w:widowControl w:val="0"/>
        <w:numPr>
          <w:ilvl w:val="0"/>
          <w:numId w:val="14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汽车竣工出厂后，乙方应建立甲方档案（包括用户名称、地址、电话、联系人、车牌号、维修资料等），以便今后联系、调查和服务。</w:t>
      </w:r>
    </w:p>
    <w:p>
      <w:pPr>
        <w:keepNext w:val="0"/>
        <w:keepLines w:val="0"/>
        <w:pageBreakBefore w:val="0"/>
        <w:widowControl w:val="0"/>
        <w:numPr>
          <w:ilvl w:val="0"/>
          <w:numId w:val="14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汽车竣工出厂后，责任保障期限及车辆质量保障按照国家有关部门颁发的最新标准执行。</w:t>
      </w:r>
    </w:p>
    <w:p>
      <w:pPr>
        <w:keepNext w:val="0"/>
        <w:keepLines w:val="0"/>
        <w:pageBreakBefore w:val="0"/>
        <w:widowControl w:val="0"/>
        <w:numPr>
          <w:ilvl w:val="0"/>
          <w:numId w:val="14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在质量保证期内（质量保证期：自维修完成一年内），因维修质量造成的车辆故障或损坏的，乙方应负责及时返修，由于维修质量问题造成的车辆异常损坏或车辆机件事故的，由乙方负责。</w:t>
      </w:r>
    </w:p>
    <w:p>
      <w:pPr>
        <w:keepNext w:val="0"/>
        <w:keepLines w:val="0"/>
        <w:pageBreakBefore w:val="0"/>
        <w:widowControl w:val="0"/>
        <w:numPr>
          <w:ilvl w:val="0"/>
          <w:numId w:val="14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乙方不得以任何借口动用消防车，未经甲方允许不得将车开出厂试车或作它用。</w:t>
      </w:r>
    </w:p>
    <w:p>
      <w:pPr>
        <w:keepNext w:val="0"/>
        <w:keepLines w:val="0"/>
        <w:pageBreakBefore w:val="0"/>
        <w:widowControl w:val="0"/>
        <w:numPr>
          <w:ilvl w:val="0"/>
          <w:numId w:val="14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华文宋体" w:hAnsi="华文宋体" w:eastAsia="华文宋体" w:cs="华文宋体"/>
          <w:bCs/>
          <w:color w:val="auto"/>
          <w:kern w:val="0"/>
          <w:sz w:val="21"/>
          <w:szCs w:val="21"/>
          <w:highlight w:val="none"/>
        </w:rPr>
      </w:pPr>
      <w:r>
        <w:rPr>
          <w:rFonts w:hint="eastAsia" w:ascii="华文宋体" w:hAnsi="华文宋体" w:eastAsia="华文宋体" w:cs="华文宋体"/>
          <w:bCs/>
          <w:color w:val="auto"/>
          <w:kern w:val="0"/>
          <w:sz w:val="21"/>
          <w:szCs w:val="21"/>
          <w:highlight w:val="none"/>
        </w:rPr>
        <w:t>乙方承诺对甲方车辆实行应急救援服务、上门维修服务和24小时服务；当甲方车辆在营区内发生故障，乙方应在甲方提出维修需求后1小时提供上门维修服务；在广州市行政区域，甲方车辆发生故障需急修的，乙方应及时派员抢修，2小时内到达，并免费提供拖车救援服务；当甲方执行重大任务用车时，乙方应派出维修人员伴随保障。乙方应当建立</w:t>
      </w:r>
      <w:r>
        <w:rPr>
          <w:rFonts w:hint="eastAsia" w:ascii="华文宋体" w:hAnsi="华文宋体" w:eastAsia="华文宋体" w:cs="华文宋体"/>
          <w:bCs/>
          <w:color w:val="auto"/>
          <w:kern w:val="0"/>
          <w:sz w:val="21"/>
          <w:szCs w:val="21"/>
          <w:highlight w:val="none"/>
          <w:lang w:eastAsia="zh-CN"/>
        </w:rPr>
        <w:t>车辆</w:t>
      </w:r>
      <w:r>
        <w:rPr>
          <w:rFonts w:hint="eastAsia" w:ascii="华文宋体" w:hAnsi="华文宋体" w:eastAsia="华文宋体" w:cs="华文宋体"/>
          <w:bCs/>
          <w:color w:val="auto"/>
          <w:kern w:val="0"/>
          <w:sz w:val="21"/>
          <w:szCs w:val="21"/>
          <w:highlight w:val="none"/>
        </w:rPr>
        <w:t>维修应急保障组，制定应急保障方案。甲方提供应急保障需求时。乙方应急保障组必须立即出动，能够完成</w:t>
      </w:r>
      <w:r>
        <w:rPr>
          <w:rFonts w:hint="eastAsia" w:ascii="华文宋体" w:hAnsi="华文宋体" w:eastAsia="华文宋体" w:cs="华文宋体"/>
          <w:bCs/>
          <w:color w:val="auto"/>
          <w:kern w:val="0"/>
          <w:sz w:val="21"/>
          <w:szCs w:val="21"/>
          <w:highlight w:val="none"/>
          <w:lang w:eastAsia="zh-CN"/>
        </w:rPr>
        <w:t>采购单位</w:t>
      </w:r>
      <w:r>
        <w:rPr>
          <w:rFonts w:hint="eastAsia" w:ascii="华文宋体" w:hAnsi="华文宋体" w:eastAsia="华文宋体" w:cs="华文宋体"/>
          <w:bCs/>
          <w:color w:val="auto"/>
          <w:kern w:val="0"/>
          <w:sz w:val="21"/>
          <w:szCs w:val="21"/>
          <w:highlight w:val="none"/>
        </w:rPr>
        <w:t>因战备任务需要紧急维修的任务。</w:t>
      </w:r>
    </w:p>
    <w:p>
      <w:pPr>
        <w:keepNext w:val="0"/>
        <w:keepLines w:val="0"/>
        <w:pageBreakBefore w:val="0"/>
        <w:widowControl w:val="0"/>
        <w:numPr>
          <w:ilvl w:val="0"/>
          <w:numId w:val="14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华文宋体" w:hAnsi="华文宋体" w:eastAsia="华文宋体" w:cs="华文宋体"/>
          <w:bCs/>
          <w:color w:val="auto"/>
          <w:kern w:val="0"/>
          <w:sz w:val="21"/>
          <w:szCs w:val="21"/>
          <w:highlight w:val="none"/>
        </w:rPr>
      </w:pPr>
      <w:r>
        <w:rPr>
          <w:rFonts w:hint="eastAsia" w:ascii="华文宋体" w:hAnsi="华文宋体" w:eastAsia="华文宋体" w:cs="华文宋体"/>
          <w:bCs/>
          <w:color w:val="auto"/>
          <w:kern w:val="0"/>
          <w:sz w:val="21"/>
          <w:szCs w:val="21"/>
          <w:highlight w:val="none"/>
        </w:rPr>
        <w:t>甲方留厂检修车辆，乙方不得擅自驾驶上路，或挪作它用。</w:t>
      </w:r>
    </w:p>
    <w:p>
      <w:pPr>
        <w:keepNext w:val="0"/>
        <w:keepLines w:val="0"/>
        <w:pageBreakBefore w:val="0"/>
        <w:widowControl w:val="0"/>
        <w:numPr>
          <w:ilvl w:val="0"/>
          <w:numId w:val="14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严格执行在响应文件中提出的服务承诺。</w:t>
      </w:r>
    </w:p>
    <w:p>
      <w:pPr>
        <w:keepNext w:val="0"/>
        <w:keepLines w:val="0"/>
        <w:pageBreakBefore w:val="0"/>
        <w:widowControl w:val="0"/>
        <w:numPr>
          <w:ilvl w:val="0"/>
          <w:numId w:val="140"/>
        </w:numPr>
        <w:kinsoku/>
        <w:wordWrap/>
        <w:overflowPunct/>
        <w:topLinePunct w:val="0"/>
        <w:autoSpaceDE w:val="0"/>
        <w:autoSpaceDN w:val="0"/>
        <w:bidi w:val="0"/>
        <w:adjustRightInd w:val="0"/>
        <w:snapToGrid/>
        <w:spacing w:line="360" w:lineRule="auto"/>
        <w:ind w:left="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必须服从有关部门的监督、管理，不得将甲方的车辆转厂维修，不得代开发票、收取开票费。</w:t>
      </w:r>
    </w:p>
    <w:p>
      <w:pPr>
        <w:numPr>
          <w:ilvl w:val="0"/>
          <w:numId w:val="138"/>
        </w:numPr>
        <w:autoSpaceDE w:val="0"/>
        <w:autoSpaceDN w:val="0"/>
        <w:adjustRightInd w:val="0"/>
        <w:spacing w:line="360" w:lineRule="auto"/>
        <w:ind w:left="443" w:hanging="441" w:hangingChars="210"/>
        <w:jc w:val="left"/>
        <w:outlineLvl w:val="2"/>
        <w:rPr>
          <w:rFonts w:hint="eastAsia" w:ascii="华文宋体" w:hAnsi="华文宋体" w:eastAsia="华文宋体" w:cs="华文宋体"/>
          <w:b/>
          <w:color w:val="auto"/>
          <w:kern w:val="0"/>
          <w:sz w:val="21"/>
          <w:szCs w:val="21"/>
          <w:highlight w:val="none"/>
        </w:rPr>
      </w:pPr>
      <w:r>
        <w:rPr>
          <w:rFonts w:hint="eastAsia" w:ascii="华文宋体" w:hAnsi="华文宋体" w:eastAsia="华文宋体" w:cs="华文宋体"/>
          <w:b/>
          <w:color w:val="auto"/>
          <w:kern w:val="0"/>
          <w:sz w:val="21"/>
          <w:szCs w:val="21"/>
          <w:highlight w:val="none"/>
        </w:rPr>
        <w:t>履行期限及地点和方式：</w:t>
      </w:r>
    </w:p>
    <w:p>
      <w:pPr>
        <w:autoSpaceDE w:val="0"/>
        <w:autoSpaceDN w:val="0"/>
        <w:adjustRightInd w:val="0"/>
        <w:spacing w:line="360" w:lineRule="auto"/>
        <w:ind w:firstLine="435"/>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履行期限：委托服务期间自______年______月至______年______月止。</w:t>
      </w:r>
    </w:p>
    <w:p>
      <w:pPr>
        <w:autoSpaceDE w:val="0"/>
        <w:autoSpaceDN w:val="0"/>
        <w:adjustRightInd w:val="0"/>
        <w:spacing w:line="360" w:lineRule="auto"/>
        <w:ind w:firstLine="435"/>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履约地点：</w:t>
      </w:r>
    </w:p>
    <w:p>
      <w:pPr>
        <w:autoSpaceDE w:val="0"/>
        <w:autoSpaceDN w:val="0"/>
        <w:adjustRightInd w:val="0"/>
        <w:spacing w:line="360" w:lineRule="auto"/>
        <w:ind w:firstLine="435"/>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方式：</w:t>
      </w:r>
    </w:p>
    <w:p>
      <w:pPr>
        <w:autoSpaceDE w:val="0"/>
        <w:autoSpaceDN w:val="0"/>
        <w:adjustRightInd w:val="0"/>
        <w:spacing w:after="120"/>
        <w:ind w:firstLine="420" w:firstLineChars="20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合同签订之日起一年内</w:t>
      </w:r>
      <w:r>
        <w:rPr>
          <w:rFonts w:hint="eastAsia" w:ascii="华文宋体" w:hAnsi="华文宋体" w:eastAsia="华文宋体" w:cs="华文宋体"/>
          <w:bCs/>
          <w:color w:val="auto"/>
          <w:kern w:val="0"/>
          <w:sz w:val="21"/>
          <w:szCs w:val="21"/>
          <w:highlight w:val="none"/>
        </w:rPr>
        <w:t>。</w:t>
      </w:r>
    </w:p>
    <w:p>
      <w:pPr>
        <w:numPr>
          <w:ilvl w:val="0"/>
          <w:numId w:val="138"/>
        </w:numPr>
        <w:autoSpaceDE w:val="0"/>
        <w:autoSpaceDN w:val="0"/>
        <w:adjustRightInd w:val="0"/>
        <w:spacing w:line="360" w:lineRule="auto"/>
        <w:ind w:left="443" w:hanging="441" w:hangingChars="210"/>
        <w:jc w:val="left"/>
        <w:outlineLvl w:val="2"/>
        <w:rPr>
          <w:rFonts w:hint="eastAsia" w:ascii="华文宋体" w:hAnsi="华文宋体" w:eastAsia="华文宋体" w:cs="华文宋体"/>
          <w:b/>
          <w:color w:val="auto"/>
          <w:kern w:val="0"/>
          <w:sz w:val="21"/>
          <w:szCs w:val="21"/>
          <w:highlight w:val="none"/>
        </w:rPr>
      </w:pPr>
      <w:bookmarkStart w:id="135" w:name="_Toc435540763"/>
      <w:r>
        <w:rPr>
          <w:rFonts w:hint="eastAsia" w:ascii="华文宋体" w:hAnsi="华文宋体" w:eastAsia="华文宋体" w:cs="华文宋体"/>
          <w:b/>
          <w:color w:val="auto"/>
          <w:kern w:val="0"/>
          <w:sz w:val="21"/>
          <w:szCs w:val="21"/>
          <w:highlight w:val="none"/>
        </w:rPr>
        <w:t>付款方式</w:t>
      </w:r>
      <w:bookmarkEnd w:id="135"/>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华文宋体" w:hAnsi="华文宋体" w:eastAsia="华文宋体" w:cs="华文宋体"/>
          <w:color w:val="auto"/>
          <w:kern w:val="0"/>
          <w:sz w:val="21"/>
          <w:szCs w:val="21"/>
          <w:highlight w:val="none"/>
        </w:rPr>
      </w:pPr>
      <w:bookmarkStart w:id="136" w:name="_Toc435540764"/>
      <w:r>
        <w:rPr>
          <w:rFonts w:hint="eastAsia" w:ascii="华文宋体" w:hAnsi="华文宋体" w:eastAsia="华文宋体" w:cs="华文宋体"/>
          <w:color w:val="auto"/>
          <w:kern w:val="0"/>
          <w:sz w:val="21"/>
          <w:szCs w:val="21"/>
          <w:highlight w:val="none"/>
        </w:rPr>
        <w:t>（一）乙方于消防车辆维修验收之日起5个工作日内向甲方提出维修服务情况明细清单，甲方审核通过后，按</w:t>
      </w:r>
      <w:r>
        <w:rPr>
          <w:rFonts w:hint="eastAsia" w:ascii="华文宋体" w:hAnsi="华文宋体" w:eastAsia="华文宋体" w:cs="华文宋体"/>
          <w:color w:val="auto"/>
          <w:kern w:val="0"/>
          <w:sz w:val="21"/>
          <w:szCs w:val="21"/>
          <w:highlight w:val="none"/>
          <w:u w:val="single"/>
        </w:rPr>
        <w:t xml:space="preserve">  月  </w:t>
      </w:r>
      <w:r>
        <w:rPr>
          <w:rFonts w:hint="eastAsia" w:ascii="华文宋体" w:hAnsi="华文宋体" w:eastAsia="华文宋体" w:cs="华文宋体"/>
          <w:color w:val="auto"/>
          <w:kern w:val="0"/>
          <w:sz w:val="21"/>
          <w:szCs w:val="21"/>
          <w:highlight w:val="none"/>
        </w:rPr>
        <w:t>办理支付手续。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（二）乙方应在甲方办理支付手续前5个工作日内提供等额的正式发票给甲方，以便甲方及时办理支付手续。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（三）</w:t>
      </w:r>
      <w:r>
        <w:rPr>
          <w:rFonts w:hint="eastAsia" w:ascii="华文宋体" w:hAnsi="华文宋体" w:eastAsia="华文宋体" w:cs="华文宋体"/>
          <w:color w:val="auto"/>
          <w:kern w:val="0"/>
          <w:sz w:val="21"/>
          <w:szCs w:val="20"/>
          <w:highlight w:val="none"/>
        </w:rPr>
        <w:t>因</w:t>
      </w:r>
      <w:r>
        <w:rPr>
          <w:rFonts w:hint="eastAsia" w:ascii="华文宋体" w:hAnsi="华文宋体" w:eastAsia="华文宋体" w:cs="华文宋体"/>
          <w:color w:val="auto"/>
          <w:kern w:val="0"/>
          <w:sz w:val="21"/>
          <w:szCs w:val="21"/>
          <w:highlight w:val="none"/>
        </w:rPr>
        <w:t>甲方</w:t>
      </w:r>
      <w:r>
        <w:rPr>
          <w:rFonts w:hint="eastAsia" w:ascii="华文宋体" w:hAnsi="华文宋体" w:eastAsia="华文宋体" w:cs="华文宋体"/>
          <w:color w:val="auto"/>
          <w:kern w:val="0"/>
          <w:sz w:val="21"/>
          <w:szCs w:val="20"/>
          <w:highlight w:val="none"/>
        </w:rPr>
        <w:t>使用的是财政资金，</w:t>
      </w:r>
      <w:r>
        <w:rPr>
          <w:rFonts w:hint="eastAsia" w:ascii="华文宋体" w:hAnsi="华文宋体" w:eastAsia="华文宋体" w:cs="华文宋体"/>
          <w:color w:val="auto"/>
          <w:kern w:val="0"/>
          <w:sz w:val="21"/>
          <w:szCs w:val="21"/>
          <w:highlight w:val="none"/>
        </w:rPr>
        <w:t>甲方</w:t>
      </w:r>
      <w:r>
        <w:rPr>
          <w:rFonts w:hint="eastAsia" w:ascii="华文宋体" w:hAnsi="华文宋体" w:eastAsia="华文宋体" w:cs="华文宋体"/>
          <w:color w:val="auto"/>
          <w:kern w:val="0"/>
          <w:sz w:val="21"/>
          <w:szCs w:val="20"/>
          <w:highlight w:val="none"/>
        </w:rPr>
        <w:t>在前款规定的付款时间为向政府采购支付部门提出办理财政支付申请手续的时间（不含政府财政支付部门审核的时间），在规定时间内提出支付申请手续后即视为</w:t>
      </w:r>
      <w:r>
        <w:rPr>
          <w:rFonts w:hint="eastAsia" w:ascii="华文宋体" w:hAnsi="华文宋体" w:eastAsia="华文宋体" w:cs="华文宋体"/>
          <w:color w:val="auto"/>
          <w:kern w:val="0"/>
          <w:sz w:val="21"/>
          <w:szCs w:val="21"/>
          <w:highlight w:val="none"/>
        </w:rPr>
        <w:t>甲方</w:t>
      </w:r>
      <w:r>
        <w:rPr>
          <w:rFonts w:hint="eastAsia" w:ascii="华文宋体" w:hAnsi="华文宋体" w:eastAsia="华文宋体" w:cs="华文宋体"/>
          <w:color w:val="auto"/>
          <w:kern w:val="0"/>
          <w:sz w:val="21"/>
          <w:szCs w:val="20"/>
          <w:highlight w:val="none"/>
        </w:rPr>
        <w:t>已经按期支付。</w:t>
      </w:r>
      <w:r>
        <w:rPr>
          <w:rFonts w:hint="eastAsia" w:ascii="华文宋体" w:hAnsi="华文宋体" w:eastAsia="华文宋体" w:cs="华文宋体"/>
          <w:color w:val="auto"/>
          <w:kern w:val="0"/>
          <w:sz w:val="21"/>
          <w:szCs w:val="21"/>
          <w:highlight w:val="none"/>
        </w:rPr>
        <w:t>如维修金额较大、时间长的项目，双方可商议二次或二次以上付款。</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0" w:firstLineChars="200"/>
        <w:textAlignment w:val="auto"/>
        <w:rPr>
          <w:rFonts w:hint="eastAsia" w:ascii="华文宋体" w:hAnsi="华文宋体" w:eastAsia="华文宋体" w:cs="华文宋体"/>
          <w:color w:val="auto"/>
          <w:kern w:val="0"/>
          <w:sz w:val="21"/>
          <w:highlight w:val="none"/>
        </w:rPr>
      </w:pPr>
      <w:r>
        <w:rPr>
          <w:rFonts w:hint="eastAsia" w:ascii="华文宋体" w:hAnsi="华文宋体" w:eastAsia="华文宋体" w:cs="华文宋体"/>
          <w:color w:val="auto"/>
          <w:kern w:val="0"/>
          <w:sz w:val="21"/>
          <w:highlight w:val="none"/>
        </w:rPr>
        <w:t>由于财政审批手续导致款项到账延迟、或乙方未及时准确提供请款所需的相关文件导致乙方收款延误的，甲方不承担责任。</w:t>
      </w:r>
    </w:p>
    <w:p>
      <w:pPr>
        <w:numPr>
          <w:ilvl w:val="0"/>
          <w:numId w:val="138"/>
        </w:numPr>
        <w:autoSpaceDE w:val="0"/>
        <w:autoSpaceDN w:val="0"/>
        <w:adjustRightInd w:val="0"/>
        <w:spacing w:line="360" w:lineRule="auto"/>
        <w:ind w:left="443" w:hanging="441" w:hangingChars="210"/>
        <w:jc w:val="left"/>
        <w:outlineLvl w:val="2"/>
        <w:rPr>
          <w:rFonts w:hint="eastAsia" w:ascii="华文宋体" w:hAnsi="华文宋体" w:eastAsia="华文宋体" w:cs="华文宋体"/>
          <w:b/>
          <w:color w:val="auto"/>
          <w:kern w:val="0"/>
          <w:sz w:val="21"/>
          <w:szCs w:val="21"/>
          <w:highlight w:val="none"/>
        </w:rPr>
      </w:pPr>
      <w:r>
        <w:rPr>
          <w:rFonts w:hint="eastAsia" w:ascii="华文宋体" w:hAnsi="华文宋体" w:eastAsia="华文宋体" w:cs="华文宋体"/>
          <w:b/>
          <w:color w:val="auto"/>
          <w:kern w:val="0"/>
          <w:sz w:val="21"/>
          <w:szCs w:val="21"/>
          <w:highlight w:val="none"/>
        </w:rPr>
        <w:t>知识产权归属</w:t>
      </w:r>
      <w:bookmarkEnd w:id="136"/>
    </w:p>
    <w:p>
      <w:pPr>
        <w:autoSpaceDE w:val="0"/>
        <w:autoSpaceDN w:val="0"/>
        <w:adjustRightInd w:val="0"/>
        <w:spacing w:line="360" w:lineRule="auto"/>
        <w:ind w:firstLine="420" w:firstLineChars="20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乙方应保证本项目的磋商技术、服务或其任何一部分不会产生因第三方提出侵犯其专利权、商标权或其他知识产权而引起的法律和经济纠纷；如因第三方提出其专利权、商标权或其他知识产权的侵权之诉，则一切法律责任由乙方承担。</w:t>
      </w:r>
    </w:p>
    <w:p>
      <w:pPr>
        <w:numPr>
          <w:ilvl w:val="0"/>
          <w:numId w:val="138"/>
        </w:numPr>
        <w:autoSpaceDE w:val="0"/>
        <w:autoSpaceDN w:val="0"/>
        <w:adjustRightInd w:val="0"/>
        <w:spacing w:line="360" w:lineRule="auto"/>
        <w:ind w:left="443" w:hanging="441" w:hangingChars="210"/>
        <w:jc w:val="left"/>
        <w:outlineLvl w:val="2"/>
        <w:rPr>
          <w:rFonts w:hint="eastAsia" w:ascii="华文宋体" w:hAnsi="华文宋体" w:eastAsia="华文宋体" w:cs="华文宋体"/>
          <w:b/>
          <w:color w:val="auto"/>
          <w:kern w:val="0"/>
          <w:sz w:val="21"/>
          <w:szCs w:val="21"/>
          <w:highlight w:val="none"/>
        </w:rPr>
      </w:pPr>
      <w:bookmarkStart w:id="137" w:name="_Toc435540765"/>
      <w:r>
        <w:rPr>
          <w:rFonts w:hint="eastAsia" w:ascii="华文宋体" w:hAnsi="华文宋体" w:eastAsia="华文宋体" w:cs="华文宋体"/>
          <w:b/>
          <w:color w:val="auto"/>
          <w:kern w:val="0"/>
          <w:sz w:val="21"/>
          <w:szCs w:val="21"/>
          <w:highlight w:val="none"/>
        </w:rPr>
        <w:t>保密</w:t>
      </w:r>
      <w:bookmarkEnd w:id="137"/>
    </w:p>
    <w:p>
      <w:pPr>
        <w:autoSpaceDE w:val="0"/>
        <w:autoSpaceDN w:val="0"/>
        <w:adjustRightInd w:val="0"/>
        <w:spacing w:line="360" w:lineRule="auto"/>
        <w:ind w:firstLine="420" w:firstLineChars="20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pPr>
        <w:tabs>
          <w:tab w:val="left" w:pos="900"/>
        </w:tabs>
        <w:autoSpaceDE w:val="0"/>
        <w:autoSpaceDN w:val="0"/>
        <w:adjustRightInd w:val="0"/>
        <w:spacing w:line="360" w:lineRule="auto"/>
        <w:ind w:left="315" w:hanging="315" w:hangingChars="15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1）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tabs>
          <w:tab w:val="left" w:pos="900"/>
        </w:tabs>
        <w:autoSpaceDE w:val="0"/>
        <w:autoSpaceDN w:val="0"/>
        <w:adjustRightInd w:val="0"/>
        <w:spacing w:line="360" w:lineRule="auto"/>
        <w:ind w:left="315" w:hanging="315" w:hangingChars="15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2）除了合同本身之外，上款所列举的任何物件均是甲方的财产。如果甲方有要求，乙方在完成合同后应将这些物件及全部复制件还给甲方。</w:t>
      </w:r>
    </w:p>
    <w:p>
      <w:pPr>
        <w:numPr>
          <w:ilvl w:val="0"/>
          <w:numId w:val="138"/>
        </w:numPr>
        <w:tabs>
          <w:tab w:val="left" w:pos="709"/>
        </w:tabs>
        <w:autoSpaceDE w:val="0"/>
        <w:autoSpaceDN w:val="0"/>
        <w:adjustRightInd w:val="0"/>
        <w:spacing w:line="360" w:lineRule="auto"/>
        <w:ind w:left="443" w:hanging="441" w:hangingChars="210"/>
        <w:jc w:val="left"/>
        <w:outlineLvl w:val="2"/>
        <w:rPr>
          <w:rFonts w:hint="eastAsia" w:ascii="华文宋体" w:hAnsi="华文宋体" w:eastAsia="华文宋体" w:cs="华文宋体"/>
          <w:b/>
          <w:color w:val="auto"/>
          <w:kern w:val="0"/>
          <w:sz w:val="21"/>
          <w:szCs w:val="21"/>
          <w:highlight w:val="none"/>
        </w:rPr>
      </w:pPr>
      <w:bookmarkStart w:id="138" w:name="_Toc435540766"/>
      <w:r>
        <w:rPr>
          <w:rFonts w:hint="eastAsia" w:ascii="华文宋体" w:hAnsi="华文宋体" w:eastAsia="华文宋体" w:cs="华文宋体"/>
          <w:b/>
          <w:color w:val="auto"/>
          <w:kern w:val="0"/>
          <w:sz w:val="21"/>
          <w:szCs w:val="21"/>
          <w:highlight w:val="none"/>
        </w:rPr>
        <w:t>违约责任与赔偿损失</w:t>
      </w:r>
      <w:bookmarkEnd w:id="138"/>
    </w:p>
    <w:p>
      <w:pPr>
        <w:tabs>
          <w:tab w:val="left" w:pos="900"/>
        </w:tabs>
        <w:autoSpaceDE w:val="0"/>
        <w:autoSpaceDN w:val="0"/>
        <w:adjustRightInd w:val="0"/>
        <w:spacing w:line="360" w:lineRule="auto"/>
        <w:ind w:left="315" w:hanging="315" w:hangingChars="15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1）乙方提供的服务不符合采购文件、磋商文件或本合同规定的，甲方有权拒收，并且乙方须向甲方支付本合同总价5%的违约金。</w:t>
      </w:r>
    </w:p>
    <w:p>
      <w:pPr>
        <w:tabs>
          <w:tab w:val="left" w:pos="720"/>
          <w:tab w:val="left" w:pos="900"/>
        </w:tabs>
        <w:autoSpaceDE w:val="0"/>
        <w:autoSpaceDN w:val="0"/>
        <w:adjustRightInd w:val="0"/>
        <w:spacing w:line="360" w:lineRule="auto"/>
        <w:ind w:left="315" w:right="51" w:hanging="315" w:hangingChars="15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2）乙方未能按本合同规定的交货时间交付货物的/提供服务，从逾期之日起每日按本合同总价3‰的数额向甲方支付违约金；逾期15天以上（含15天）的，甲方有权终止合同，要求乙方支付违约金，并且给甲方造成的经济损失由乙方承担赔偿责任。</w:t>
      </w:r>
    </w:p>
    <w:p>
      <w:pPr>
        <w:autoSpaceDE w:val="0"/>
        <w:autoSpaceDN w:val="0"/>
        <w:adjustRightInd w:val="0"/>
        <w:spacing w:line="360" w:lineRule="auto"/>
        <w:ind w:left="315" w:hanging="315" w:hangingChars="15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3）甲方无正当理由拒收接受服务，到期拒付服务款项的，甲方向乙方偿付本合同总价5%的违约金。甲方逾期付款，则每日按本合同总价的3‰向乙方偿付违约金。</w:t>
      </w:r>
    </w:p>
    <w:p>
      <w:pPr>
        <w:autoSpaceDE w:val="0"/>
        <w:autoSpaceDN w:val="0"/>
        <w:adjustRightInd w:val="0"/>
        <w:spacing w:line="360" w:lineRule="auto"/>
        <w:jc w:val="left"/>
        <w:rPr>
          <w:rFonts w:hint="eastAsia" w:ascii="华文宋体" w:hAnsi="华文宋体" w:eastAsia="华文宋体" w:cs="华文宋体"/>
          <w:bCs/>
          <w:color w:val="auto"/>
          <w:kern w:val="0"/>
          <w:sz w:val="21"/>
          <w:szCs w:val="21"/>
          <w:highlight w:val="none"/>
        </w:rPr>
      </w:pPr>
      <w:r>
        <w:rPr>
          <w:rFonts w:hint="eastAsia" w:ascii="华文宋体" w:hAnsi="华文宋体" w:eastAsia="华文宋体" w:cs="华文宋体"/>
          <w:bCs/>
          <w:color w:val="auto"/>
          <w:kern w:val="0"/>
          <w:sz w:val="21"/>
          <w:szCs w:val="21"/>
          <w:highlight w:val="none"/>
        </w:rPr>
        <w:t>4）其它违约责任按《中华人民共和国民法典》处理。</w:t>
      </w:r>
    </w:p>
    <w:p>
      <w:pPr>
        <w:numPr>
          <w:ilvl w:val="0"/>
          <w:numId w:val="138"/>
        </w:numPr>
        <w:tabs>
          <w:tab w:val="left" w:pos="709"/>
        </w:tabs>
        <w:autoSpaceDE w:val="0"/>
        <w:autoSpaceDN w:val="0"/>
        <w:adjustRightInd w:val="0"/>
        <w:spacing w:line="360" w:lineRule="auto"/>
        <w:ind w:left="443" w:hanging="441" w:hangingChars="210"/>
        <w:jc w:val="left"/>
        <w:outlineLvl w:val="2"/>
        <w:rPr>
          <w:rFonts w:hint="eastAsia" w:ascii="华文宋体" w:hAnsi="华文宋体" w:eastAsia="华文宋体" w:cs="华文宋体"/>
          <w:b/>
          <w:color w:val="auto"/>
          <w:kern w:val="0"/>
          <w:sz w:val="21"/>
          <w:szCs w:val="21"/>
          <w:highlight w:val="none"/>
        </w:rPr>
      </w:pPr>
      <w:bookmarkStart w:id="139" w:name="_Toc435540767"/>
      <w:r>
        <w:rPr>
          <w:rFonts w:hint="eastAsia" w:ascii="华文宋体" w:hAnsi="华文宋体" w:eastAsia="华文宋体" w:cs="华文宋体"/>
          <w:b/>
          <w:color w:val="auto"/>
          <w:kern w:val="0"/>
          <w:sz w:val="21"/>
          <w:szCs w:val="21"/>
          <w:highlight w:val="none"/>
        </w:rPr>
        <w:t>争端的解决</w:t>
      </w:r>
      <w:bookmarkEnd w:id="139"/>
    </w:p>
    <w:p>
      <w:pPr>
        <w:autoSpaceDE w:val="0"/>
        <w:autoSpaceDN w:val="0"/>
        <w:adjustRightInd w:val="0"/>
        <w:spacing w:line="360" w:lineRule="auto"/>
        <w:ind w:firstLine="420" w:firstLineChars="20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合同执行过程中发生的任何争议，如双方不能通过友好协商解决，甲、乙双方一致同意向甲方所在地人民法院提起诉讼。</w:t>
      </w:r>
    </w:p>
    <w:p>
      <w:pPr>
        <w:numPr>
          <w:ilvl w:val="0"/>
          <w:numId w:val="138"/>
        </w:numPr>
        <w:autoSpaceDE w:val="0"/>
        <w:autoSpaceDN w:val="0"/>
        <w:adjustRightInd w:val="0"/>
        <w:spacing w:line="360" w:lineRule="auto"/>
        <w:ind w:left="443" w:hanging="441" w:hangingChars="210"/>
        <w:jc w:val="left"/>
        <w:outlineLvl w:val="2"/>
        <w:rPr>
          <w:rFonts w:hint="eastAsia" w:ascii="华文宋体" w:hAnsi="华文宋体" w:eastAsia="华文宋体" w:cs="华文宋体"/>
          <w:b/>
          <w:color w:val="auto"/>
          <w:kern w:val="0"/>
          <w:sz w:val="21"/>
          <w:szCs w:val="21"/>
          <w:highlight w:val="none"/>
        </w:rPr>
      </w:pPr>
      <w:bookmarkStart w:id="140" w:name="_Toc435540768"/>
      <w:r>
        <w:rPr>
          <w:rFonts w:hint="eastAsia" w:ascii="华文宋体" w:hAnsi="华文宋体" w:eastAsia="华文宋体" w:cs="华文宋体"/>
          <w:b/>
          <w:color w:val="auto"/>
          <w:kern w:val="0"/>
          <w:sz w:val="21"/>
          <w:szCs w:val="21"/>
          <w:highlight w:val="none"/>
        </w:rPr>
        <w:t>不可抗力</w:t>
      </w:r>
      <w:bookmarkEnd w:id="140"/>
    </w:p>
    <w:p>
      <w:pPr>
        <w:autoSpaceDE w:val="0"/>
        <w:autoSpaceDN w:val="0"/>
        <w:adjustRightInd w:val="0"/>
        <w:spacing w:line="360" w:lineRule="auto"/>
        <w:ind w:firstLine="420" w:firstLineChars="20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138"/>
        </w:numPr>
        <w:tabs>
          <w:tab w:val="left" w:pos="709"/>
        </w:tabs>
        <w:autoSpaceDE w:val="0"/>
        <w:autoSpaceDN w:val="0"/>
        <w:adjustRightInd w:val="0"/>
        <w:spacing w:line="360" w:lineRule="auto"/>
        <w:ind w:left="443" w:hanging="441" w:hangingChars="210"/>
        <w:jc w:val="left"/>
        <w:outlineLvl w:val="2"/>
        <w:rPr>
          <w:rFonts w:hint="eastAsia" w:ascii="华文宋体" w:hAnsi="华文宋体" w:eastAsia="华文宋体" w:cs="华文宋体"/>
          <w:b/>
          <w:color w:val="auto"/>
          <w:kern w:val="0"/>
          <w:sz w:val="21"/>
          <w:szCs w:val="21"/>
          <w:highlight w:val="none"/>
        </w:rPr>
      </w:pPr>
      <w:bookmarkStart w:id="141" w:name="_Toc435540769"/>
      <w:r>
        <w:rPr>
          <w:rFonts w:hint="eastAsia" w:ascii="华文宋体" w:hAnsi="华文宋体" w:eastAsia="华文宋体" w:cs="华文宋体"/>
          <w:b/>
          <w:color w:val="auto"/>
          <w:kern w:val="0"/>
          <w:sz w:val="21"/>
          <w:szCs w:val="21"/>
          <w:highlight w:val="none"/>
        </w:rPr>
        <w:t>税费</w:t>
      </w:r>
      <w:bookmarkEnd w:id="141"/>
    </w:p>
    <w:p>
      <w:pPr>
        <w:autoSpaceDE w:val="0"/>
        <w:autoSpaceDN w:val="0"/>
        <w:adjustRightInd w:val="0"/>
        <w:spacing w:line="360" w:lineRule="auto"/>
        <w:ind w:firstLine="420" w:firstLineChars="200"/>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在中国境内、外发生的与本合同执行有关的一切税费均由乙方负担。</w:t>
      </w:r>
    </w:p>
    <w:p>
      <w:pPr>
        <w:numPr>
          <w:ilvl w:val="0"/>
          <w:numId w:val="138"/>
        </w:numPr>
        <w:tabs>
          <w:tab w:val="left" w:pos="709"/>
        </w:tabs>
        <w:autoSpaceDE w:val="0"/>
        <w:autoSpaceDN w:val="0"/>
        <w:adjustRightInd w:val="0"/>
        <w:spacing w:line="360" w:lineRule="auto"/>
        <w:ind w:left="443" w:hanging="441" w:hangingChars="210"/>
        <w:jc w:val="left"/>
        <w:outlineLvl w:val="2"/>
        <w:rPr>
          <w:rFonts w:hint="eastAsia" w:ascii="华文宋体" w:hAnsi="华文宋体" w:eastAsia="华文宋体" w:cs="华文宋体"/>
          <w:b/>
          <w:color w:val="auto"/>
          <w:kern w:val="0"/>
          <w:sz w:val="21"/>
          <w:szCs w:val="21"/>
          <w:highlight w:val="none"/>
        </w:rPr>
      </w:pPr>
      <w:bookmarkStart w:id="142" w:name="_Toc435540770"/>
      <w:r>
        <w:rPr>
          <w:rFonts w:hint="eastAsia" w:ascii="华文宋体" w:hAnsi="华文宋体" w:eastAsia="华文宋体" w:cs="华文宋体"/>
          <w:b/>
          <w:color w:val="auto"/>
          <w:kern w:val="0"/>
          <w:sz w:val="21"/>
          <w:szCs w:val="21"/>
          <w:highlight w:val="none"/>
        </w:rPr>
        <w:t>其它</w:t>
      </w:r>
      <w:bookmarkEnd w:id="142"/>
    </w:p>
    <w:p>
      <w:pPr>
        <w:autoSpaceDE w:val="0"/>
        <w:autoSpaceDN w:val="0"/>
        <w:adjustRightInd w:val="0"/>
        <w:spacing w:line="360" w:lineRule="auto"/>
        <w:ind w:left="349" w:hanging="348" w:hangingChars="166"/>
        <w:jc w:val="left"/>
        <w:rPr>
          <w:rFonts w:hint="eastAsia" w:ascii="华文宋体" w:hAnsi="华文宋体" w:eastAsia="华文宋体" w:cs="华文宋体"/>
          <w:b/>
          <w:color w:val="auto"/>
          <w:kern w:val="0"/>
          <w:sz w:val="21"/>
          <w:szCs w:val="21"/>
          <w:highlight w:val="none"/>
        </w:rPr>
      </w:pPr>
      <w:r>
        <w:rPr>
          <w:rFonts w:hint="eastAsia" w:ascii="华文宋体" w:hAnsi="华文宋体" w:eastAsia="华文宋体" w:cs="华文宋体"/>
          <w:color w:val="auto"/>
          <w:kern w:val="0"/>
          <w:sz w:val="21"/>
          <w:szCs w:val="21"/>
          <w:highlight w:val="none"/>
        </w:rPr>
        <w:t>1）本合同所有附件、</w:t>
      </w:r>
      <w:r>
        <w:rPr>
          <w:rFonts w:hint="eastAsia" w:ascii="华文宋体" w:hAnsi="华文宋体" w:eastAsia="华文宋体" w:cs="华文宋体"/>
          <w:bCs/>
          <w:color w:val="auto"/>
          <w:kern w:val="0"/>
          <w:sz w:val="21"/>
          <w:szCs w:val="21"/>
          <w:highlight w:val="none"/>
        </w:rPr>
        <w:t>竞争性磋商文件</w:t>
      </w:r>
      <w:r>
        <w:rPr>
          <w:rFonts w:hint="eastAsia" w:ascii="华文宋体" w:hAnsi="华文宋体" w:eastAsia="华文宋体" w:cs="华文宋体"/>
          <w:color w:val="auto"/>
          <w:kern w:val="0"/>
          <w:sz w:val="21"/>
          <w:szCs w:val="21"/>
          <w:highlight w:val="none"/>
        </w:rPr>
        <w:t>、磋商文件、成交通知书均为合同的有效组成部分，与本合同具有同等法律效力。</w:t>
      </w:r>
    </w:p>
    <w:p>
      <w:pPr>
        <w:autoSpaceDE w:val="0"/>
        <w:autoSpaceDN w:val="0"/>
        <w:adjustRightInd w:val="0"/>
        <w:spacing w:line="360" w:lineRule="auto"/>
        <w:ind w:left="321" w:hanging="321" w:hangingChars="153"/>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bCs/>
          <w:color w:val="auto"/>
          <w:kern w:val="0"/>
          <w:sz w:val="21"/>
          <w:szCs w:val="21"/>
          <w:highlight w:val="none"/>
        </w:rPr>
        <w:t>2</w:t>
      </w:r>
      <w:r>
        <w:rPr>
          <w:rFonts w:hint="eastAsia" w:ascii="华文宋体" w:hAnsi="华文宋体" w:eastAsia="华文宋体" w:cs="华文宋体"/>
          <w:color w:val="auto"/>
          <w:kern w:val="0"/>
          <w:sz w:val="21"/>
          <w:szCs w:val="21"/>
          <w:highlight w:val="none"/>
        </w:rPr>
        <w:t>）在执行本合同的过程中，所有经双方签署确认的文件（包括会议纪要、补充协议、往来信函）即成为本合同的有效组成部分。</w:t>
      </w:r>
    </w:p>
    <w:p>
      <w:pPr>
        <w:autoSpaceDE w:val="0"/>
        <w:autoSpaceDN w:val="0"/>
        <w:adjustRightIn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 xml:space="preserve">3）如一方地址、电话、传真号码有变更，应在变更当日内书面通知对方，否则，应承担相应责任。 </w:t>
      </w:r>
    </w:p>
    <w:p>
      <w:pPr>
        <w:autoSpaceDE w:val="0"/>
        <w:autoSpaceDN w:val="0"/>
        <w:adjustRightIn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4）除甲方事先书面同意外，乙方不得部分或全部转让其应履行的合同项下的义务。</w:t>
      </w:r>
    </w:p>
    <w:p>
      <w:pPr>
        <w:numPr>
          <w:ilvl w:val="0"/>
          <w:numId w:val="138"/>
        </w:numPr>
        <w:tabs>
          <w:tab w:val="left" w:pos="709"/>
        </w:tabs>
        <w:autoSpaceDE w:val="0"/>
        <w:autoSpaceDN w:val="0"/>
        <w:adjustRightInd w:val="0"/>
        <w:spacing w:line="360" w:lineRule="auto"/>
        <w:ind w:left="443" w:hanging="441" w:hangingChars="210"/>
        <w:jc w:val="left"/>
        <w:outlineLvl w:val="2"/>
        <w:rPr>
          <w:rFonts w:hint="eastAsia" w:ascii="华文宋体" w:hAnsi="华文宋体" w:eastAsia="华文宋体" w:cs="华文宋体"/>
          <w:b/>
          <w:color w:val="auto"/>
          <w:kern w:val="0"/>
          <w:sz w:val="21"/>
          <w:szCs w:val="21"/>
          <w:highlight w:val="none"/>
        </w:rPr>
      </w:pPr>
      <w:bookmarkStart w:id="143" w:name="_Toc435540771"/>
      <w:r>
        <w:rPr>
          <w:rFonts w:hint="eastAsia" w:ascii="华文宋体" w:hAnsi="华文宋体" w:eastAsia="华文宋体" w:cs="华文宋体"/>
          <w:b/>
          <w:color w:val="auto"/>
          <w:kern w:val="0"/>
          <w:sz w:val="21"/>
          <w:szCs w:val="21"/>
          <w:highlight w:val="none"/>
        </w:rPr>
        <w:t>合同生效</w:t>
      </w:r>
      <w:bookmarkEnd w:id="143"/>
    </w:p>
    <w:p>
      <w:pPr>
        <w:autoSpaceDE w:val="0"/>
        <w:autoSpaceDN w:val="0"/>
        <w:adjustRightIn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1）合同自甲乙双方法人代表或其授权代表签字盖章之日起生效。</w:t>
      </w:r>
    </w:p>
    <w:p>
      <w:pPr>
        <w:autoSpaceDE w:val="0"/>
        <w:autoSpaceDN w:val="0"/>
        <w:adjustRightIn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2）合同壹式</w:t>
      </w:r>
      <w:r>
        <w:rPr>
          <w:rFonts w:hint="eastAsia" w:ascii="华文宋体" w:hAnsi="华文宋体" w:eastAsia="华文宋体" w:cs="华文宋体"/>
          <w:color w:val="auto"/>
          <w:kern w:val="0"/>
          <w:sz w:val="21"/>
          <w:szCs w:val="21"/>
          <w:highlight w:val="none"/>
          <w:u w:val="single"/>
        </w:rPr>
        <w:t xml:space="preserve">    </w:t>
      </w:r>
      <w:r>
        <w:rPr>
          <w:rFonts w:hint="eastAsia" w:ascii="华文宋体" w:hAnsi="华文宋体" w:eastAsia="华文宋体" w:cs="华文宋体"/>
          <w:color w:val="auto"/>
          <w:kern w:val="0"/>
          <w:sz w:val="21"/>
          <w:szCs w:val="21"/>
          <w:highlight w:val="none"/>
        </w:rPr>
        <w:t>份，其中甲乙双方各执</w:t>
      </w:r>
      <w:r>
        <w:rPr>
          <w:rFonts w:hint="eastAsia" w:ascii="华文宋体" w:hAnsi="华文宋体" w:eastAsia="华文宋体" w:cs="华文宋体"/>
          <w:color w:val="auto"/>
          <w:kern w:val="0"/>
          <w:sz w:val="21"/>
          <w:szCs w:val="21"/>
          <w:highlight w:val="none"/>
          <w:u w:val="single"/>
        </w:rPr>
        <w:t xml:space="preserve">    </w:t>
      </w:r>
      <w:r>
        <w:rPr>
          <w:rFonts w:hint="eastAsia" w:ascii="华文宋体" w:hAnsi="华文宋体" w:eastAsia="华文宋体" w:cs="华文宋体"/>
          <w:color w:val="auto"/>
          <w:kern w:val="0"/>
          <w:sz w:val="21"/>
          <w:szCs w:val="21"/>
          <w:highlight w:val="none"/>
        </w:rPr>
        <w:t>份，采购代理机构执</w:t>
      </w:r>
      <w:r>
        <w:rPr>
          <w:rFonts w:hint="eastAsia" w:ascii="华文宋体" w:hAnsi="华文宋体" w:eastAsia="华文宋体" w:cs="华文宋体"/>
          <w:color w:val="auto"/>
          <w:kern w:val="0"/>
          <w:sz w:val="21"/>
          <w:szCs w:val="21"/>
          <w:highlight w:val="none"/>
          <w:u w:val="single"/>
        </w:rPr>
        <w:t>壹</w:t>
      </w:r>
      <w:r>
        <w:rPr>
          <w:rFonts w:hint="eastAsia" w:ascii="华文宋体" w:hAnsi="华文宋体" w:eastAsia="华文宋体" w:cs="华文宋体"/>
          <w:color w:val="auto"/>
          <w:kern w:val="0"/>
          <w:sz w:val="21"/>
          <w:szCs w:val="21"/>
          <w:highlight w:val="none"/>
        </w:rPr>
        <w:t>份，政府采购监督管理部门</w:t>
      </w:r>
      <w:r>
        <w:rPr>
          <w:rFonts w:hint="eastAsia" w:ascii="华文宋体" w:hAnsi="华文宋体" w:eastAsia="华文宋体" w:cs="华文宋体"/>
          <w:color w:val="auto"/>
          <w:kern w:val="0"/>
          <w:sz w:val="21"/>
          <w:szCs w:val="21"/>
          <w:highlight w:val="none"/>
          <w:u w:val="single"/>
        </w:rPr>
        <w:t>壹</w:t>
      </w:r>
      <w:r>
        <w:rPr>
          <w:rFonts w:hint="eastAsia" w:ascii="华文宋体" w:hAnsi="华文宋体" w:eastAsia="华文宋体" w:cs="华文宋体"/>
          <w:color w:val="auto"/>
          <w:kern w:val="0"/>
          <w:sz w:val="21"/>
          <w:szCs w:val="21"/>
          <w:highlight w:val="none"/>
        </w:rPr>
        <w:t>份。</w:t>
      </w:r>
    </w:p>
    <w:p>
      <w:pPr>
        <w:tabs>
          <w:tab w:val="left" w:pos="720"/>
        </w:tabs>
        <w:autoSpaceDE w:val="0"/>
        <w:autoSpaceDN w:val="0"/>
        <w:adjustRightInd w:val="0"/>
        <w:spacing w:line="360" w:lineRule="auto"/>
        <w:jc w:val="left"/>
        <w:rPr>
          <w:rFonts w:hint="eastAsia" w:ascii="华文宋体" w:hAnsi="华文宋体" w:eastAsia="华文宋体" w:cs="华文宋体"/>
          <w:color w:val="auto"/>
          <w:kern w:val="0"/>
          <w:sz w:val="21"/>
          <w:szCs w:val="21"/>
          <w:highlight w:val="none"/>
        </w:rPr>
      </w:pPr>
    </w:p>
    <w:p>
      <w:pPr>
        <w:autoSpaceDE w:val="0"/>
        <w:autoSpaceDN w:val="0"/>
        <w:adjustRightInd w:val="0"/>
        <w:snapToGri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甲方（盖章）：                          乙方（盖章）：</w:t>
      </w:r>
    </w:p>
    <w:p>
      <w:pPr>
        <w:autoSpaceDE w:val="0"/>
        <w:autoSpaceDN w:val="0"/>
        <w:adjustRightInd w:val="0"/>
        <w:snapToGri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 xml:space="preserve">代表：                                  代表： </w:t>
      </w:r>
    </w:p>
    <w:p>
      <w:pPr>
        <w:autoSpaceDE w:val="0"/>
        <w:autoSpaceDN w:val="0"/>
        <w:adjustRightInd w:val="0"/>
        <w:snapToGri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签定地点：</w:t>
      </w:r>
    </w:p>
    <w:p>
      <w:pPr>
        <w:autoSpaceDE w:val="0"/>
        <w:autoSpaceDN w:val="0"/>
        <w:adjustRightInd w:val="0"/>
        <w:snapToGri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 xml:space="preserve">签定日期：        年     月    日       签定日期：        年     月     日    </w:t>
      </w:r>
    </w:p>
    <w:p>
      <w:pPr>
        <w:autoSpaceDE w:val="0"/>
        <w:autoSpaceDN w:val="0"/>
        <w:adjustRightInd w:val="0"/>
        <w:snapToGrid w:val="0"/>
        <w:spacing w:line="360" w:lineRule="auto"/>
        <w:jc w:val="left"/>
        <w:rPr>
          <w:rFonts w:hint="eastAsia" w:ascii="华文宋体" w:hAnsi="华文宋体" w:eastAsia="华文宋体" w:cs="华文宋体"/>
          <w:color w:val="auto"/>
          <w:kern w:val="0"/>
          <w:sz w:val="21"/>
          <w:szCs w:val="21"/>
          <w:highlight w:val="none"/>
        </w:rPr>
      </w:pPr>
    </w:p>
    <w:p>
      <w:pPr>
        <w:autoSpaceDE w:val="0"/>
        <w:autoSpaceDN w:val="0"/>
        <w:adjustRightInd w:val="0"/>
        <w:snapToGri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开户名称：</w:t>
      </w:r>
    </w:p>
    <w:p>
      <w:pPr>
        <w:autoSpaceDE w:val="0"/>
        <w:autoSpaceDN w:val="0"/>
        <w:adjustRightInd w:val="0"/>
        <w:snapToGri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银行账号：</w:t>
      </w:r>
    </w:p>
    <w:p>
      <w:pPr>
        <w:autoSpaceDE w:val="0"/>
        <w:autoSpaceDN w:val="0"/>
        <w:adjustRightInd w:val="0"/>
        <w:snapToGri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纳税人识别号：</w:t>
      </w:r>
    </w:p>
    <w:p>
      <w:pPr>
        <w:autoSpaceDE w:val="0"/>
        <w:autoSpaceDN w:val="0"/>
        <w:adjustRightInd w:val="0"/>
        <w:snapToGrid w:val="0"/>
        <w:spacing w:line="360" w:lineRule="auto"/>
        <w:jc w:val="left"/>
        <w:rPr>
          <w:rFonts w:hint="eastAsia" w:ascii="华文宋体" w:hAnsi="华文宋体" w:eastAsia="华文宋体" w:cs="华文宋体"/>
          <w:color w:val="auto"/>
          <w:kern w:val="0"/>
          <w:sz w:val="21"/>
          <w:szCs w:val="21"/>
          <w:highlight w:val="none"/>
        </w:rPr>
      </w:pPr>
      <w:r>
        <w:rPr>
          <w:rFonts w:hint="eastAsia" w:ascii="华文宋体" w:hAnsi="华文宋体" w:eastAsia="华文宋体" w:cs="华文宋体"/>
          <w:color w:val="auto"/>
          <w:kern w:val="0"/>
          <w:sz w:val="21"/>
          <w:szCs w:val="21"/>
          <w:highlight w:val="none"/>
        </w:rPr>
        <w:t>开 户 行：</w:t>
      </w:r>
    </w:p>
    <w:p>
      <w:pPr>
        <w:widowControl/>
        <w:autoSpaceDE w:val="0"/>
        <w:autoSpaceDN w:val="0"/>
        <w:adjustRightInd w:val="0"/>
        <w:snapToGrid w:val="0"/>
        <w:spacing w:line="360" w:lineRule="auto"/>
        <w:jc w:val="left"/>
        <w:rPr>
          <w:rFonts w:hint="eastAsia" w:ascii="华文宋体" w:hAnsi="华文宋体" w:eastAsia="华文宋体" w:cs="华文宋体"/>
          <w:b/>
          <w:color w:val="auto"/>
          <w:kern w:val="0"/>
          <w:sz w:val="21"/>
          <w:szCs w:val="21"/>
          <w:highlight w:val="none"/>
        </w:rPr>
      </w:pPr>
    </w:p>
    <w:p>
      <w:pPr>
        <w:widowControl/>
        <w:autoSpaceDE w:val="0"/>
        <w:autoSpaceDN w:val="0"/>
        <w:adjustRightInd w:val="0"/>
        <w:snapToGrid w:val="0"/>
        <w:spacing w:line="360" w:lineRule="auto"/>
        <w:jc w:val="left"/>
        <w:rPr>
          <w:rFonts w:hint="eastAsia" w:ascii="华文宋体" w:hAnsi="华文宋体" w:eastAsia="华文宋体" w:cs="华文宋体"/>
          <w:b/>
          <w:color w:val="auto"/>
          <w:kern w:val="0"/>
          <w:sz w:val="21"/>
          <w:szCs w:val="21"/>
          <w:highlight w:val="none"/>
        </w:rPr>
      </w:pPr>
      <w:r>
        <w:rPr>
          <w:rFonts w:hint="eastAsia" w:ascii="华文宋体" w:hAnsi="华文宋体" w:eastAsia="华文宋体" w:cs="华文宋体"/>
          <w:b/>
          <w:color w:val="auto"/>
          <w:kern w:val="0"/>
          <w:sz w:val="21"/>
          <w:szCs w:val="21"/>
          <w:highlight w:val="none"/>
        </w:rPr>
        <w:t>合 同 附 件 （ 合 同 编 号            ）</w:t>
      </w:r>
    </w:p>
    <w:p>
      <w:pPr>
        <w:widowControl/>
        <w:autoSpaceDE w:val="0"/>
        <w:autoSpaceDN w:val="0"/>
        <w:adjustRightInd w:val="0"/>
        <w:snapToGrid w:val="0"/>
        <w:spacing w:line="360" w:lineRule="auto"/>
        <w:jc w:val="left"/>
        <w:rPr>
          <w:rFonts w:hint="eastAsia" w:ascii="华文宋体" w:hAnsi="华文宋体" w:eastAsia="华文宋体" w:cs="华文宋体"/>
          <w:b/>
          <w:color w:val="auto"/>
          <w:kern w:val="0"/>
          <w:sz w:val="21"/>
          <w:szCs w:val="21"/>
          <w:highlight w:val="none"/>
        </w:rPr>
      </w:pPr>
      <w:r>
        <w:rPr>
          <w:rFonts w:hint="eastAsia" w:ascii="华文宋体" w:hAnsi="华文宋体" w:eastAsia="华文宋体" w:cs="华文宋体"/>
          <w:b/>
          <w:color w:val="auto"/>
          <w:kern w:val="0"/>
          <w:sz w:val="21"/>
          <w:szCs w:val="21"/>
          <w:highlight w:val="none"/>
        </w:rPr>
        <w:t>附件 1 成交通知书</w:t>
      </w:r>
    </w:p>
    <w:p>
      <w:pPr>
        <w:widowControl/>
        <w:autoSpaceDE w:val="0"/>
        <w:autoSpaceDN w:val="0"/>
        <w:adjustRightInd w:val="0"/>
        <w:snapToGrid w:val="0"/>
        <w:spacing w:line="360" w:lineRule="auto"/>
        <w:jc w:val="left"/>
        <w:rPr>
          <w:rFonts w:hint="eastAsia" w:ascii="华文宋体" w:hAnsi="华文宋体" w:eastAsia="华文宋体" w:cs="华文宋体"/>
          <w:b/>
          <w:color w:val="auto"/>
          <w:kern w:val="0"/>
          <w:sz w:val="21"/>
          <w:szCs w:val="21"/>
          <w:highlight w:val="none"/>
        </w:rPr>
      </w:pPr>
      <w:r>
        <w:rPr>
          <w:rFonts w:hint="eastAsia" w:ascii="华文宋体" w:hAnsi="华文宋体" w:eastAsia="华文宋体" w:cs="华文宋体"/>
          <w:b/>
          <w:color w:val="auto"/>
          <w:kern w:val="0"/>
          <w:sz w:val="21"/>
          <w:szCs w:val="21"/>
          <w:highlight w:val="none"/>
        </w:rPr>
        <w:t>附件 2 技术文件（包括图纸、手册等）</w:t>
      </w:r>
    </w:p>
    <w:p>
      <w:pPr>
        <w:widowControl/>
        <w:autoSpaceDE w:val="0"/>
        <w:autoSpaceDN w:val="0"/>
        <w:adjustRightInd w:val="0"/>
        <w:jc w:val="left"/>
        <w:rPr>
          <w:rFonts w:hint="eastAsia" w:ascii="华文宋体" w:hAnsi="华文宋体" w:eastAsia="华文宋体" w:cs="华文宋体"/>
          <w:b/>
          <w:color w:val="auto"/>
          <w:kern w:val="0"/>
          <w:sz w:val="21"/>
          <w:szCs w:val="21"/>
          <w:highlight w:val="none"/>
        </w:rPr>
      </w:pPr>
      <w:r>
        <w:rPr>
          <w:rFonts w:hint="eastAsia" w:ascii="华文宋体" w:hAnsi="华文宋体" w:eastAsia="华文宋体" w:cs="华文宋体"/>
          <w:b/>
          <w:color w:val="auto"/>
          <w:kern w:val="0"/>
          <w:sz w:val="21"/>
          <w:szCs w:val="21"/>
          <w:highlight w:val="none"/>
        </w:rPr>
        <w:t>附件 3 验收单（包括图纸、手册等）</w:t>
      </w:r>
    </w:p>
    <w:p>
      <w:pPr>
        <w:rPr>
          <w:rFonts w:hint="eastAsia" w:ascii="华文宋体" w:hAnsi="华文宋体" w:eastAsia="华文宋体" w:cs="华文宋体"/>
          <w:color w:val="auto"/>
          <w:highlight w:val="none"/>
          <w:lang w:eastAsia="zh-CN"/>
        </w:rPr>
      </w:pPr>
      <w:r>
        <w:rPr>
          <w:rFonts w:hint="eastAsia" w:ascii="华文宋体" w:hAnsi="华文宋体" w:eastAsia="华文宋体" w:cs="华文宋体"/>
          <w:color w:val="auto"/>
          <w:sz w:val="22"/>
          <w:highlight w:val="none"/>
        </w:rPr>
        <w:br w:type="page"/>
      </w:r>
    </w:p>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31"/>
    <w:p>
      <w:pPr>
        <w:pStyle w:val="4"/>
        <w:keepNext/>
        <w:keepLines/>
        <w:pageBreakBefore w:val="0"/>
        <w:widowControl w:val="0"/>
        <w:kinsoku/>
        <w:wordWrap/>
        <w:overflowPunct/>
        <w:topLinePunct w:val="0"/>
        <w:autoSpaceDE/>
        <w:autoSpaceDN/>
        <w:bidi w:val="0"/>
        <w:adjustRightInd/>
        <w:snapToGrid/>
        <w:spacing w:before="0" w:after="90" w:line="240" w:lineRule="auto"/>
        <w:jc w:val="center"/>
        <w:textAlignment w:val="auto"/>
        <w:rPr>
          <w:rFonts w:hint="eastAsia" w:ascii="华文宋体" w:hAnsi="华文宋体" w:eastAsia="华文宋体" w:cs="华文宋体"/>
          <w:color w:val="auto"/>
          <w:sz w:val="40"/>
          <w:szCs w:val="40"/>
          <w:highlight w:val="none"/>
        </w:rPr>
      </w:pPr>
      <w:bookmarkStart w:id="144" w:name="_Toc11432_WPSOffice_Level2"/>
      <w:bookmarkStart w:id="145" w:name="_Toc2131"/>
      <w:bookmarkStart w:id="146" w:name="_Toc16355"/>
      <w:bookmarkStart w:id="147" w:name="_Toc403491575"/>
      <w:bookmarkStart w:id="148" w:name="_Toc12166"/>
      <w:bookmarkStart w:id="149" w:name="_Toc995"/>
      <w:bookmarkStart w:id="150" w:name="_Toc7474"/>
      <w:bookmarkStart w:id="151" w:name="_Toc525322210"/>
      <w:bookmarkStart w:id="152" w:name="_Toc101951271"/>
      <w:bookmarkStart w:id="153" w:name="_Toc29100"/>
      <w:bookmarkStart w:id="154" w:name="_Toc27211"/>
      <w:bookmarkStart w:id="155" w:name="_Toc31722"/>
      <w:bookmarkStart w:id="156" w:name="_Toc401575159"/>
      <w:bookmarkStart w:id="157" w:name="_Toc101775133"/>
      <w:bookmarkStart w:id="158" w:name="_Toc101843133"/>
      <w:bookmarkStart w:id="159" w:name="_Toc101771380"/>
      <w:bookmarkStart w:id="160" w:name="_Toc3650"/>
      <w:r>
        <w:rPr>
          <w:rFonts w:hint="eastAsia" w:ascii="华文宋体" w:hAnsi="华文宋体" w:eastAsia="华文宋体" w:cs="华文宋体"/>
          <w:color w:val="auto"/>
          <w:sz w:val="40"/>
          <w:szCs w:val="40"/>
          <w:highlight w:val="none"/>
        </w:rPr>
        <w:t xml:space="preserve">第六章 </w:t>
      </w:r>
      <w:bookmarkStart w:id="161" w:name="_Toc40762376"/>
      <w:bookmarkStart w:id="162" w:name="_Toc41723938"/>
      <w:bookmarkStart w:id="163" w:name="_Toc41884708"/>
      <w:bookmarkStart w:id="164" w:name="_Toc38947808"/>
      <w:bookmarkStart w:id="165" w:name="_Toc42313174"/>
      <w:r>
        <w:rPr>
          <w:rFonts w:hint="eastAsia" w:ascii="华文宋体" w:hAnsi="华文宋体" w:eastAsia="华文宋体" w:cs="华文宋体"/>
          <w:color w:val="auto"/>
          <w:sz w:val="40"/>
          <w:szCs w:val="40"/>
          <w:highlight w:val="none"/>
        </w:rPr>
        <w:t>响应文件格式</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华文宋体" w:hAnsi="华文宋体" w:eastAsia="华文宋体" w:cs="华文宋体"/>
          <w:color w:val="auto"/>
          <w:sz w:val="32"/>
          <w:szCs w:val="32"/>
          <w:highlight w:val="none"/>
        </w:rPr>
      </w:pPr>
      <w:bookmarkStart w:id="166" w:name="EB435b31d7348145f6ba3789d579ec8cae"/>
      <w:r>
        <w:rPr>
          <w:rFonts w:hint="eastAsia" w:ascii="华文宋体" w:hAnsi="华文宋体" w:eastAsia="华文宋体" w:cs="华文宋体"/>
          <w:color w:val="auto"/>
          <w:sz w:val="32"/>
          <w:szCs w:val="32"/>
          <w:highlight w:val="none"/>
        </w:rPr>
        <w:t>响应文件内容总表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5936"/>
        <w:gridCol w:w="869"/>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shd w:val="clear" w:color="auto" w:fill="D7D7D7"/>
            <w:noWrap w:val="0"/>
            <w:vAlign w:val="center"/>
          </w:tcPr>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包装</w:t>
            </w:r>
          </w:p>
        </w:tc>
        <w:tc>
          <w:tcPr>
            <w:tcW w:w="5936" w:type="dxa"/>
            <w:shd w:val="clear" w:color="auto" w:fill="D7D7D7"/>
            <w:noWrap w:val="0"/>
            <w:vAlign w:val="center"/>
          </w:tcPr>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b/>
                <w:bCs/>
                <w:color w:val="auto"/>
                <w:kern w:val="0"/>
                <w:sz w:val="24"/>
                <w:szCs w:val="24"/>
                <w:highlight w:val="none"/>
              </w:rPr>
              <w:t>竞争性磋商响应文件内容</w:t>
            </w:r>
          </w:p>
        </w:tc>
        <w:tc>
          <w:tcPr>
            <w:tcW w:w="869" w:type="dxa"/>
            <w:shd w:val="clear" w:color="auto" w:fill="D7D7D7"/>
            <w:noWrap w:val="0"/>
            <w:vAlign w:val="center"/>
          </w:tcPr>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b/>
                <w:bCs/>
                <w:color w:val="auto"/>
                <w:kern w:val="0"/>
                <w:sz w:val="24"/>
                <w:szCs w:val="24"/>
                <w:highlight w:val="none"/>
              </w:rPr>
              <w:t>正本</w:t>
            </w:r>
          </w:p>
        </w:tc>
        <w:tc>
          <w:tcPr>
            <w:tcW w:w="770" w:type="dxa"/>
            <w:shd w:val="clear" w:color="auto" w:fill="D7D7D7"/>
            <w:noWrap w:val="0"/>
            <w:vAlign w:val="center"/>
          </w:tcPr>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b/>
                <w:bCs/>
                <w:color w:val="auto"/>
                <w:kern w:val="0"/>
                <w:sz w:val="24"/>
                <w:szCs w:val="24"/>
                <w:highlight w:val="none"/>
              </w:rPr>
              <w:t>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restart"/>
            <w:noWrap w:val="0"/>
            <w:vAlign w:val="center"/>
          </w:tcPr>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竞</w:t>
            </w:r>
          </w:p>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争</w:t>
            </w:r>
          </w:p>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性</w:t>
            </w:r>
          </w:p>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磋</w:t>
            </w:r>
          </w:p>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商</w:t>
            </w:r>
          </w:p>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响</w:t>
            </w:r>
          </w:p>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应</w:t>
            </w:r>
          </w:p>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文</w:t>
            </w:r>
          </w:p>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件</w:t>
            </w:r>
          </w:p>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密</w:t>
            </w:r>
          </w:p>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封</w:t>
            </w:r>
          </w:p>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包</w:t>
            </w:r>
          </w:p>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装</w:t>
            </w:r>
          </w:p>
        </w:tc>
        <w:tc>
          <w:tcPr>
            <w:tcW w:w="5936" w:type="dxa"/>
            <w:noWrap w:val="0"/>
            <w:vAlign w:val="center"/>
          </w:tcPr>
          <w:p>
            <w:pPr>
              <w:numPr>
                <w:ilvl w:val="0"/>
                <w:numId w:val="141"/>
              </w:num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竞争性磋商响应文件外包装封条</w:t>
            </w:r>
          </w:p>
        </w:tc>
        <w:tc>
          <w:tcPr>
            <w:tcW w:w="869" w:type="dxa"/>
            <w:noWrap w:val="0"/>
            <w:vAlign w:val="center"/>
          </w:tcPr>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color w:val="auto"/>
                <w:kern w:val="0"/>
                <w:sz w:val="24"/>
                <w:szCs w:val="24"/>
                <w:highlight w:val="none"/>
              </w:rPr>
            </w:pPr>
          </w:p>
        </w:tc>
        <w:tc>
          <w:tcPr>
            <w:tcW w:w="770" w:type="dxa"/>
            <w:noWrap w:val="0"/>
            <w:vAlign w:val="center"/>
          </w:tcPr>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continue"/>
            <w:noWrap w:val="0"/>
            <w:vAlign w:val="center"/>
          </w:tcPr>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color w:val="auto"/>
                <w:kern w:val="0"/>
                <w:sz w:val="24"/>
                <w:szCs w:val="24"/>
                <w:highlight w:val="none"/>
              </w:rPr>
            </w:pPr>
          </w:p>
        </w:tc>
        <w:tc>
          <w:tcPr>
            <w:tcW w:w="5936" w:type="dxa"/>
            <w:noWrap w:val="0"/>
            <w:vAlign w:val="top"/>
          </w:tcPr>
          <w:p>
            <w:pPr>
              <w:numPr>
                <w:ilvl w:val="0"/>
                <w:numId w:val="141"/>
              </w:num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竞争性磋商响应文件封面</w:t>
            </w:r>
          </w:p>
          <w:p>
            <w:pPr>
              <w:numPr>
                <w:ilvl w:val="0"/>
                <w:numId w:val="141"/>
              </w:num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目录</w:t>
            </w:r>
          </w:p>
          <w:p>
            <w:p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（一）初步评审文件</w:t>
            </w:r>
          </w:p>
          <w:p>
            <w:pPr>
              <w:numPr>
                <w:ilvl w:val="0"/>
                <w:numId w:val="141"/>
              </w:num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《初步评审自查表》</w:t>
            </w:r>
          </w:p>
          <w:p>
            <w:pPr>
              <w:numPr>
                <w:ilvl w:val="0"/>
                <w:numId w:val="141"/>
              </w:num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初步评审文件</w:t>
            </w:r>
          </w:p>
          <w:p>
            <w:p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（二）商务文件</w:t>
            </w:r>
          </w:p>
          <w:p>
            <w:pPr>
              <w:numPr>
                <w:ilvl w:val="0"/>
                <w:numId w:val="141"/>
              </w:num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《商务评审自查表》</w:t>
            </w:r>
          </w:p>
          <w:p>
            <w:pPr>
              <w:numPr>
                <w:ilvl w:val="0"/>
                <w:numId w:val="141"/>
              </w:num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商务文件</w:t>
            </w:r>
          </w:p>
          <w:p>
            <w:p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（三）技术文件</w:t>
            </w:r>
          </w:p>
          <w:p>
            <w:pPr>
              <w:numPr>
                <w:ilvl w:val="0"/>
                <w:numId w:val="141"/>
              </w:num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kern w:val="0"/>
                <w:sz w:val="24"/>
                <w:szCs w:val="24"/>
                <w:highlight w:val="none"/>
              </w:rPr>
              <w:t>《技术评审自查表》</w:t>
            </w:r>
          </w:p>
          <w:p>
            <w:pPr>
              <w:numPr>
                <w:ilvl w:val="0"/>
                <w:numId w:val="141"/>
              </w:num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kern w:val="0"/>
                <w:sz w:val="24"/>
                <w:szCs w:val="24"/>
                <w:highlight w:val="none"/>
              </w:rPr>
              <w:t>技术文件</w:t>
            </w:r>
          </w:p>
          <w:p>
            <w:p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b/>
                <w:bCs/>
                <w:color w:val="auto"/>
                <w:kern w:val="0"/>
                <w:sz w:val="24"/>
                <w:szCs w:val="24"/>
                <w:highlight w:val="none"/>
              </w:rPr>
            </w:pPr>
            <w:r>
              <w:rPr>
                <w:rFonts w:hint="eastAsia" w:ascii="华文宋体" w:hAnsi="华文宋体" w:eastAsia="华文宋体" w:cs="华文宋体"/>
                <w:b/>
                <w:bCs/>
                <w:color w:val="auto"/>
                <w:kern w:val="0"/>
                <w:sz w:val="24"/>
                <w:szCs w:val="24"/>
                <w:highlight w:val="none"/>
              </w:rPr>
              <w:t>（四）报价文件</w:t>
            </w:r>
          </w:p>
          <w:p>
            <w:pPr>
              <w:numPr>
                <w:ilvl w:val="0"/>
                <w:numId w:val="141"/>
              </w:num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kern w:val="0"/>
                <w:sz w:val="24"/>
                <w:szCs w:val="24"/>
                <w:highlight w:val="none"/>
              </w:rPr>
              <w:t>《初次报价一览表》</w:t>
            </w:r>
          </w:p>
          <w:p>
            <w:pPr>
              <w:numPr>
                <w:ilvl w:val="0"/>
                <w:numId w:val="141"/>
              </w:num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kern w:val="0"/>
                <w:sz w:val="24"/>
                <w:szCs w:val="24"/>
                <w:highlight w:val="none"/>
              </w:rPr>
              <w:t>《报价明细表》</w:t>
            </w:r>
          </w:p>
          <w:p>
            <w:pPr>
              <w:numPr>
                <w:ilvl w:val="0"/>
                <w:numId w:val="141"/>
              </w:num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lang w:val="en-US" w:eastAsia="zh-CN"/>
              </w:rPr>
              <w:t>中小企业声明函</w:t>
            </w:r>
          </w:p>
        </w:tc>
        <w:tc>
          <w:tcPr>
            <w:tcW w:w="869" w:type="dxa"/>
            <w:noWrap w:val="0"/>
            <w:vAlign w:val="center"/>
          </w:tcPr>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1</w:t>
            </w:r>
          </w:p>
        </w:tc>
        <w:tc>
          <w:tcPr>
            <w:tcW w:w="770" w:type="dxa"/>
            <w:noWrap w:val="0"/>
            <w:vAlign w:val="center"/>
          </w:tcPr>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Merge w:val="continue"/>
            <w:noWrap w:val="0"/>
            <w:vAlign w:val="center"/>
          </w:tcPr>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color w:val="auto"/>
                <w:kern w:val="0"/>
                <w:sz w:val="24"/>
                <w:szCs w:val="24"/>
                <w:highlight w:val="none"/>
              </w:rPr>
            </w:pPr>
          </w:p>
        </w:tc>
        <w:tc>
          <w:tcPr>
            <w:tcW w:w="5936" w:type="dxa"/>
            <w:noWrap w:val="0"/>
            <w:vAlign w:val="top"/>
          </w:tcPr>
          <w:p>
            <w:p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b/>
                <w:bCs/>
                <w:color w:val="auto"/>
                <w:kern w:val="0"/>
                <w:sz w:val="24"/>
                <w:szCs w:val="24"/>
                <w:highlight w:val="none"/>
              </w:rPr>
              <w:t>（五）电子文件光盘</w:t>
            </w:r>
          </w:p>
          <w:p>
            <w:pPr>
              <w:numPr>
                <w:ilvl w:val="0"/>
                <w:numId w:val="141"/>
              </w:num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电子文件光盘</w:t>
            </w:r>
          </w:p>
        </w:tc>
        <w:tc>
          <w:tcPr>
            <w:tcW w:w="869" w:type="dxa"/>
            <w:noWrap w:val="0"/>
            <w:vAlign w:val="center"/>
          </w:tcPr>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1</w:t>
            </w:r>
          </w:p>
        </w:tc>
        <w:tc>
          <w:tcPr>
            <w:tcW w:w="770" w:type="dxa"/>
            <w:noWrap w:val="0"/>
            <w:vAlign w:val="top"/>
          </w:tcPr>
          <w:p>
            <w:pPr>
              <w:autoSpaceDE w:val="0"/>
              <w:autoSpaceDN w:val="0"/>
              <w:adjustRightInd w:val="0"/>
              <w:snapToGrid w:val="0"/>
              <w:spacing w:before="120" w:beforeLines="50" w:after="120" w:afterLines="50" w:line="380" w:lineRule="exact"/>
              <w:ind w:right="34"/>
              <w:rPr>
                <w:rFonts w:hint="eastAsia" w:ascii="华文宋体" w:hAnsi="华文宋体" w:eastAsia="华文宋体" w:cs="华文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pPr>
              <w:autoSpaceDE w:val="0"/>
              <w:autoSpaceDN w:val="0"/>
              <w:adjustRightInd w:val="0"/>
              <w:snapToGrid w:val="0"/>
              <w:spacing w:line="420" w:lineRule="exact"/>
              <w:ind w:right="34"/>
              <w:jc w:val="center"/>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b/>
                <w:bCs/>
                <w:color w:val="auto"/>
                <w:kern w:val="0"/>
                <w:sz w:val="24"/>
                <w:szCs w:val="24"/>
                <w:highlight w:val="none"/>
              </w:rPr>
              <w:t>报价信封</w:t>
            </w:r>
          </w:p>
        </w:tc>
        <w:tc>
          <w:tcPr>
            <w:tcW w:w="5936" w:type="dxa"/>
            <w:noWrap w:val="0"/>
            <w:vAlign w:val="top"/>
          </w:tcPr>
          <w:p>
            <w:p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t>（六）报价信封</w:t>
            </w:r>
          </w:p>
          <w:p>
            <w:pPr>
              <w:numPr>
                <w:ilvl w:val="0"/>
                <w:numId w:val="141"/>
              </w:num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《初次报价表》</w:t>
            </w:r>
          </w:p>
          <w:p>
            <w:pPr>
              <w:numPr>
                <w:ilvl w:val="0"/>
                <w:numId w:val="141"/>
              </w:numPr>
              <w:autoSpaceDE w:val="0"/>
              <w:autoSpaceDN w:val="0"/>
              <w:adjustRightInd w:val="0"/>
              <w:snapToGrid w:val="0"/>
              <w:spacing w:before="60" w:beforeLines="25" w:after="60" w:afterLines="25" w:line="380" w:lineRule="exact"/>
              <w:ind w:right="34"/>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kern w:val="0"/>
                <w:sz w:val="24"/>
                <w:szCs w:val="24"/>
                <w:highlight w:val="none"/>
                <w:lang w:val="en-US" w:eastAsia="zh-CN"/>
              </w:rPr>
              <w:t>中小企业声明函</w:t>
            </w:r>
          </w:p>
        </w:tc>
        <w:tc>
          <w:tcPr>
            <w:tcW w:w="869" w:type="dxa"/>
            <w:noWrap w:val="0"/>
            <w:vAlign w:val="center"/>
          </w:tcPr>
          <w:p>
            <w:pPr>
              <w:autoSpaceDE w:val="0"/>
              <w:autoSpaceDN w:val="0"/>
              <w:adjustRightInd w:val="0"/>
              <w:snapToGrid w:val="0"/>
              <w:spacing w:before="120" w:beforeLines="50" w:after="120" w:afterLines="50" w:line="380" w:lineRule="exact"/>
              <w:ind w:right="34"/>
              <w:jc w:val="center"/>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1</w:t>
            </w:r>
          </w:p>
        </w:tc>
        <w:tc>
          <w:tcPr>
            <w:tcW w:w="770" w:type="dxa"/>
            <w:noWrap w:val="0"/>
            <w:vAlign w:val="top"/>
          </w:tcPr>
          <w:p>
            <w:pPr>
              <w:autoSpaceDE w:val="0"/>
              <w:autoSpaceDN w:val="0"/>
              <w:adjustRightInd w:val="0"/>
              <w:snapToGrid w:val="0"/>
              <w:spacing w:before="120" w:beforeLines="50" w:after="120" w:afterLines="50" w:line="380" w:lineRule="exact"/>
              <w:ind w:right="34"/>
              <w:rPr>
                <w:rFonts w:hint="eastAsia" w:ascii="华文宋体" w:hAnsi="华文宋体" w:eastAsia="华文宋体" w:cs="华文宋体"/>
                <w:color w:val="auto"/>
                <w:kern w:val="0"/>
                <w:sz w:val="24"/>
                <w:szCs w:val="24"/>
                <w:highlight w:val="none"/>
              </w:rPr>
            </w:pPr>
          </w:p>
        </w:tc>
      </w:tr>
    </w:tbl>
    <w:p>
      <w:pPr>
        <w:pStyle w:val="47"/>
        <w:rPr>
          <w:rFonts w:hint="eastAsia" w:ascii="华文宋体" w:hAnsi="华文宋体" w:eastAsia="华文宋体" w:cs="华文宋体"/>
          <w:b/>
          <w:bCs/>
          <w:color w:val="auto"/>
          <w:sz w:val="32"/>
          <w:szCs w:val="32"/>
          <w:highlight w:val="none"/>
        </w:rPr>
      </w:pPr>
    </w:p>
    <w:p>
      <w:pPr>
        <w:pStyle w:val="47"/>
        <w:rPr>
          <w:rFonts w:hint="eastAsia" w:ascii="华文宋体" w:hAnsi="华文宋体" w:eastAsia="华文宋体" w:cs="华文宋体"/>
          <w:b/>
          <w:bCs/>
          <w:color w:val="auto"/>
          <w:sz w:val="32"/>
          <w:szCs w:val="32"/>
          <w:highlight w:val="none"/>
        </w:rPr>
      </w:pPr>
    </w:p>
    <w:p>
      <w:pPr>
        <w:pStyle w:val="16"/>
        <w:tabs>
          <w:tab w:val="left" w:pos="1260"/>
        </w:tabs>
        <w:rPr>
          <w:rFonts w:hint="eastAsia" w:ascii="华文宋体" w:hAnsi="华文宋体" w:eastAsia="华文宋体" w:cs="华文宋体"/>
          <w:bCs/>
          <w:color w:val="auto"/>
          <w:spacing w:val="100"/>
          <w:sz w:val="52"/>
          <w:szCs w:val="52"/>
          <w:highlight w:val="none"/>
        </w:rPr>
      </w:pPr>
    </w:p>
    <w:p>
      <w:pPr>
        <w:pStyle w:val="16"/>
        <w:tabs>
          <w:tab w:val="left" w:pos="1260"/>
        </w:tabs>
        <w:jc w:val="center"/>
        <w:rPr>
          <w:rFonts w:hint="eastAsia" w:ascii="华文宋体" w:hAnsi="华文宋体" w:eastAsia="华文宋体" w:cs="华文宋体"/>
          <w:b/>
          <w:color w:val="auto"/>
          <w:spacing w:val="45"/>
          <w:sz w:val="48"/>
          <w:szCs w:val="48"/>
          <w:highlight w:val="none"/>
        </w:rPr>
      </w:pPr>
      <w:r>
        <w:rPr>
          <w:rFonts w:hint="eastAsia" w:ascii="华文宋体" w:hAnsi="华文宋体" w:eastAsia="华文宋体" w:cs="华文宋体"/>
          <w:b/>
          <w:color w:val="auto"/>
          <w:spacing w:val="45"/>
          <w:sz w:val="72"/>
          <w:szCs w:val="72"/>
          <w:highlight w:val="none"/>
        </w:rPr>
        <w:t>竞争性磋商响应文件</w:t>
      </w:r>
    </w:p>
    <w:p>
      <w:pPr>
        <w:pStyle w:val="16"/>
        <w:jc w:val="center"/>
        <w:rPr>
          <w:rFonts w:hint="eastAsia" w:ascii="华文宋体" w:hAnsi="华文宋体" w:eastAsia="华文宋体" w:cs="华文宋体"/>
          <w:bCs/>
          <w:color w:val="auto"/>
          <w:sz w:val="48"/>
          <w:szCs w:val="48"/>
          <w:highlight w:val="none"/>
        </w:rPr>
      </w:pPr>
      <w:r>
        <w:rPr>
          <w:rFonts w:hint="eastAsia" w:ascii="华文宋体" w:hAnsi="华文宋体" w:eastAsia="华文宋体" w:cs="华文宋体"/>
          <w:bCs/>
          <w:color w:val="auto"/>
          <w:sz w:val="48"/>
          <w:szCs w:val="48"/>
          <w:highlight w:val="none"/>
        </w:rPr>
        <w:t>（外包装封条/正本/副本）</w:t>
      </w:r>
    </w:p>
    <w:p>
      <w:pPr>
        <w:pStyle w:val="16"/>
        <w:jc w:val="center"/>
        <w:rPr>
          <w:rFonts w:hint="eastAsia" w:ascii="华文宋体" w:hAnsi="华文宋体" w:eastAsia="华文宋体" w:cs="华文宋体"/>
          <w:b/>
          <w:color w:val="auto"/>
          <w:sz w:val="28"/>
          <w:szCs w:val="28"/>
          <w:highlight w:val="none"/>
        </w:rPr>
      </w:pPr>
    </w:p>
    <w:p>
      <w:pPr>
        <w:pStyle w:val="16"/>
        <w:jc w:val="center"/>
        <w:rPr>
          <w:rFonts w:hint="eastAsia" w:ascii="华文宋体" w:hAnsi="华文宋体" w:eastAsia="华文宋体" w:cs="华文宋体"/>
          <w:b/>
          <w:color w:val="auto"/>
          <w:sz w:val="28"/>
          <w:szCs w:val="28"/>
          <w:highlight w:val="none"/>
        </w:rPr>
      </w:pPr>
    </w:p>
    <w:p>
      <w:pPr>
        <w:pStyle w:val="2"/>
        <w:rPr>
          <w:rFonts w:hint="eastAsia" w:ascii="华文宋体" w:hAnsi="华文宋体" w:eastAsia="华文宋体" w:cs="华文宋体"/>
          <w:b/>
          <w:color w:val="auto"/>
          <w:sz w:val="28"/>
          <w:szCs w:val="28"/>
          <w:highlight w:val="none"/>
        </w:rPr>
      </w:pPr>
    </w:p>
    <w:p>
      <w:pPr>
        <w:rPr>
          <w:rFonts w:hint="eastAsia" w:ascii="华文宋体" w:hAnsi="华文宋体" w:eastAsia="华文宋体" w:cs="华文宋体"/>
          <w:color w:val="auto"/>
          <w:highlight w:val="none"/>
        </w:rPr>
      </w:pPr>
    </w:p>
    <w:p>
      <w:pPr>
        <w:pStyle w:val="16"/>
        <w:spacing w:line="360" w:lineRule="auto"/>
        <w:ind w:firstLine="964" w:firstLineChars="344"/>
        <w:rPr>
          <w:rFonts w:hint="eastAsia" w:ascii="华文宋体" w:hAnsi="华文宋体" w:eastAsia="华文宋体" w:cs="华文宋体"/>
          <w:b/>
          <w:color w:val="auto"/>
          <w:sz w:val="28"/>
          <w:szCs w:val="28"/>
          <w:highlight w:val="none"/>
        </w:rPr>
      </w:pPr>
    </w:p>
    <w:p>
      <w:pPr>
        <w:pStyle w:val="16"/>
        <w:spacing w:line="360" w:lineRule="auto"/>
        <w:ind w:firstLine="964" w:firstLineChars="344"/>
        <w:rPr>
          <w:rFonts w:hint="eastAsia" w:ascii="华文宋体" w:hAnsi="华文宋体" w:eastAsia="华文宋体" w:cs="华文宋体"/>
          <w:b/>
          <w:color w:val="auto"/>
          <w:sz w:val="28"/>
          <w:szCs w:val="28"/>
          <w:highlight w:val="none"/>
        </w:rPr>
      </w:pPr>
    </w:p>
    <w:p>
      <w:pPr>
        <w:pStyle w:val="16"/>
        <w:spacing w:line="360" w:lineRule="auto"/>
        <w:ind w:firstLine="964" w:firstLineChars="344"/>
        <w:rPr>
          <w:rFonts w:hint="eastAsia" w:ascii="华文宋体" w:hAnsi="华文宋体" w:eastAsia="华文宋体" w:cs="华文宋体"/>
          <w:b/>
          <w:color w:val="auto"/>
          <w:sz w:val="28"/>
          <w:szCs w:val="28"/>
          <w:highlight w:val="none"/>
        </w:rPr>
      </w:pPr>
    </w:p>
    <w:p>
      <w:pPr>
        <w:pStyle w:val="16"/>
        <w:spacing w:line="360" w:lineRule="auto"/>
        <w:ind w:firstLine="964" w:firstLineChars="344"/>
        <w:rPr>
          <w:rFonts w:hint="eastAsia" w:ascii="华文宋体" w:hAnsi="华文宋体" w:eastAsia="华文宋体" w:cs="华文宋体"/>
          <w:b/>
          <w:color w:val="auto"/>
          <w:sz w:val="28"/>
          <w:szCs w:val="28"/>
          <w:highlight w:val="none"/>
        </w:rPr>
      </w:pPr>
    </w:p>
    <w:p>
      <w:pPr>
        <w:pStyle w:val="13"/>
        <w:spacing w:after="144" w:afterLines="60" w:line="360" w:lineRule="auto"/>
        <w:ind w:left="1800" w:leftChars="1000" w:firstLine="4"/>
        <w:jc w:val="left"/>
        <w:rPr>
          <w:rFonts w:hint="eastAsia" w:ascii="华文宋体" w:hAnsi="华文宋体" w:eastAsia="华文宋体" w:cs="华文宋体"/>
          <w:bCs/>
          <w:color w:val="auto"/>
          <w:sz w:val="28"/>
          <w:szCs w:val="28"/>
          <w:highlight w:val="none"/>
          <w:u w:val="single"/>
        </w:rPr>
      </w:pPr>
      <w:r>
        <w:rPr>
          <w:rFonts w:hint="eastAsia" w:ascii="华文宋体" w:hAnsi="华文宋体" w:eastAsia="华文宋体" w:cs="华文宋体"/>
          <w:bCs/>
          <w:color w:val="auto"/>
          <w:sz w:val="28"/>
          <w:szCs w:val="28"/>
          <w:highlight w:val="none"/>
        </w:rPr>
        <w:t>项目名称：</w:t>
      </w:r>
      <w:r>
        <w:rPr>
          <w:rFonts w:hint="eastAsia" w:ascii="华文宋体" w:hAnsi="华文宋体" w:eastAsia="华文宋体" w:cs="华文宋体"/>
          <w:bCs/>
          <w:color w:val="auto"/>
          <w:sz w:val="28"/>
          <w:szCs w:val="28"/>
          <w:highlight w:val="none"/>
          <w:u w:val="single"/>
        </w:rPr>
        <w:t xml:space="preserve">                              </w:t>
      </w:r>
    </w:p>
    <w:p>
      <w:pPr>
        <w:pStyle w:val="16"/>
        <w:spacing w:after="144" w:afterLines="60" w:line="360" w:lineRule="auto"/>
        <w:ind w:left="1800" w:leftChars="1000" w:firstLine="4"/>
        <w:jc w:val="left"/>
        <w:rPr>
          <w:rFonts w:hint="eastAsia" w:ascii="华文宋体" w:hAnsi="华文宋体" w:eastAsia="华文宋体" w:cs="华文宋体"/>
          <w:bCs/>
          <w:color w:val="auto"/>
          <w:sz w:val="28"/>
          <w:szCs w:val="28"/>
          <w:highlight w:val="none"/>
          <w:u w:val="single"/>
        </w:rPr>
      </w:pPr>
      <w:r>
        <w:rPr>
          <w:rFonts w:hint="eastAsia" w:ascii="华文宋体" w:hAnsi="华文宋体" w:eastAsia="华文宋体" w:cs="华文宋体"/>
          <w:bCs/>
          <w:color w:val="auto"/>
          <w:sz w:val="28"/>
          <w:szCs w:val="28"/>
          <w:highlight w:val="none"/>
        </w:rPr>
        <w:t>项目编号:</w:t>
      </w:r>
      <w:r>
        <w:rPr>
          <w:rFonts w:hint="eastAsia" w:ascii="华文宋体" w:hAnsi="华文宋体" w:eastAsia="华文宋体" w:cs="华文宋体"/>
          <w:bCs/>
          <w:color w:val="auto"/>
          <w:sz w:val="28"/>
          <w:szCs w:val="28"/>
          <w:highlight w:val="none"/>
          <w:u w:val="single"/>
        </w:rPr>
        <w:t xml:space="preserve">                              </w:t>
      </w:r>
    </w:p>
    <w:p>
      <w:pPr>
        <w:pStyle w:val="16"/>
        <w:spacing w:after="144" w:afterLines="60" w:line="360" w:lineRule="auto"/>
        <w:ind w:left="1800" w:leftChars="1000" w:firstLine="4"/>
        <w:jc w:val="left"/>
        <w:rPr>
          <w:rFonts w:hint="eastAsia" w:ascii="华文宋体" w:hAnsi="华文宋体" w:eastAsia="华文宋体" w:cs="华文宋体"/>
          <w:bCs/>
          <w:color w:val="auto"/>
          <w:sz w:val="28"/>
          <w:szCs w:val="28"/>
          <w:highlight w:val="none"/>
          <w:u w:val="single"/>
        </w:rPr>
      </w:pPr>
      <w:r>
        <w:rPr>
          <w:rFonts w:hint="eastAsia" w:ascii="华文宋体" w:hAnsi="华文宋体" w:eastAsia="华文宋体" w:cs="华文宋体"/>
          <w:bCs/>
          <w:color w:val="auto"/>
          <w:sz w:val="28"/>
          <w:szCs w:val="28"/>
          <w:highlight w:val="none"/>
        </w:rPr>
        <w:t>供应商名称：</w:t>
      </w:r>
      <w:r>
        <w:rPr>
          <w:rFonts w:hint="eastAsia" w:ascii="华文宋体" w:hAnsi="华文宋体" w:eastAsia="华文宋体" w:cs="华文宋体"/>
          <w:bCs/>
          <w:color w:val="auto"/>
          <w:sz w:val="28"/>
          <w:szCs w:val="28"/>
          <w:highlight w:val="none"/>
          <w:u w:val="single"/>
        </w:rPr>
        <w:t xml:space="preserve">                     </w:t>
      </w:r>
      <w:r>
        <w:rPr>
          <w:rFonts w:hint="eastAsia" w:ascii="华文宋体" w:hAnsi="华文宋体" w:eastAsia="华文宋体" w:cs="华文宋体"/>
          <w:bCs/>
          <w:color w:val="auto"/>
          <w:sz w:val="28"/>
          <w:szCs w:val="28"/>
          <w:highlight w:val="none"/>
        </w:rPr>
        <w:t>（盖公章）</w:t>
      </w:r>
    </w:p>
    <w:p>
      <w:pPr>
        <w:autoSpaceDE w:val="0"/>
        <w:autoSpaceDN w:val="0"/>
        <w:spacing w:line="240" w:lineRule="atLeast"/>
        <w:jc w:val="center"/>
        <w:rPr>
          <w:rFonts w:hint="eastAsia" w:ascii="华文宋体" w:hAnsi="华文宋体" w:eastAsia="华文宋体" w:cs="华文宋体"/>
          <w:bCs/>
          <w:color w:val="auto"/>
          <w:sz w:val="28"/>
          <w:szCs w:val="28"/>
          <w:highlight w:val="none"/>
        </w:rPr>
      </w:pPr>
    </w:p>
    <w:p>
      <w:pPr>
        <w:autoSpaceDE w:val="0"/>
        <w:autoSpaceDN w:val="0"/>
        <w:spacing w:line="240" w:lineRule="atLeast"/>
        <w:jc w:val="center"/>
        <w:rPr>
          <w:rFonts w:hint="eastAsia" w:ascii="华文宋体" w:hAnsi="华文宋体" w:eastAsia="华文宋体" w:cs="华文宋体"/>
          <w:bCs/>
          <w:color w:val="auto"/>
          <w:sz w:val="28"/>
          <w:szCs w:val="28"/>
          <w:highlight w:val="none"/>
        </w:rPr>
      </w:pPr>
    </w:p>
    <w:p>
      <w:pPr>
        <w:autoSpaceDE w:val="0"/>
        <w:autoSpaceDN w:val="0"/>
        <w:spacing w:line="240" w:lineRule="atLeast"/>
        <w:jc w:val="center"/>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在开启时间</w:t>
      </w:r>
      <w:r>
        <w:rPr>
          <w:rFonts w:hint="eastAsia" w:ascii="华文宋体" w:hAnsi="华文宋体" w:eastAsia="华文宋体" w:cs="华文宋体"/>
          <w:bCs/>
          <w:color w:val="auto"/>
          <w:sz w:val="28"/>
          <w:szCs w:val="28"/>
          <w:highlight w:val="none"/>
          <w:u w:val="single"/>
        </w:rPr>
        <w:t xml:space="preserve">     </w:t>
      </w:r>
      <w:r>
        <w:rPr>
          <w:rFonts w:hint="eastAsia" w:ascii="华文宋体" w:hAnsi="华文宋体" w:eastAsia="华文宋体" w:cs="华文宋体"/>
          <w:bCs/>
          <w:color w:val="auto"/>
          <w:sz w:val="28"/>
          <w:szCs w:val="28"/>
          <w:highlight w:val="none"/>
        </w:rPr>
        <w:t>年</w:t>
      </w:r>
      <w:r>
        <w:rPr>
          <w:rFonts w:hint="eastAsia" w:ascii="华文宋体" w:hAnsi="华文宋体" w:eastAsia="华文宋体" w:cs="华文宋体"/>
          <w:bCs/>
          <w:color w:val="auto"/>
          <w:sz w:val="28"/>
          <w:szCs w:val="28"/>
          <w:highlight w:val="none"/>
          <w:u w:val="single"/>
        </w:rPr>
        <w:t xml:space="preserve">   </w:t>
      </w:r>
      <w:r>
        <w:rPr>
          <w:rFonts w:hint="eastAsia" w:ascii="华文宋体" w:hAnsi="华文宋体" w:eastAsia="华文宋体" w:cs="华文宋体"/>
          <w:bCs/>
          <w:color w:val="auto"/>
          <w:sz w:val="28"/>
          <w:szCs w:val="28"/>
          <w:highlight w:val="none"/>
        </w:rPr>
        <w:t>月</w:t>
      </w:r>
      <w:r>
        <w:rPr>
          <w:rFonts w:hint="eastAsia" w:ascii="华文宋体" w:hAnsi="华文宋体" w:eastAsia="华文宋体" w:cs="华文宋体"/>
          <w:bCs/>
          <w:color w:val="auto"/>
          <w:sz w:val="28"/>
          <w:szCs w:val="28"/>
          <w:highlight w:val="none"/>
          <w:u w:val="single"/>
        </w:rPr>
        <w:t xml:space="preserve">   </w:t>
      </w:r>
      <w:r>
        <w:rPr>
          <w:rFonts w:hint="eastAsia" w:ascii="华文宋体" w:hAnsi="华文宋体" w:eastAsia="华文宋体" w:cs="华文宋体"/>
          <w:bCs/>
          <w:color w:val="auto"/>
          <w:sz w:val="28"/>
          <w:szCs w:val="28"/>
          <w:highlight w:val="none"/>
        </w:rPr>
        <w:t>日</w:t>
      </w:r>
      <w:r>
        <w:rPr>
          <w:rFonts w:hint="eastAsia" w:ascii="华文宋体" w:hAnsi="华文宋体" w:eastAsia="华文宋体" w:cs="华文宋体"/>
          <w:bCs/>
          <w:color w:val="auto"/>
          <w:sz w:val="28"/>
          <w:szCs w:val="28"/>
          <w:highlight w:val="none"/>
          <w:u w:val="single"/>
        </w:rPr>
        <w:t xml:space="preserve">   </w:t>
      </w:r>
      <w:r>
        <w:rPr>
          <w:rFonts w:hint="eastAsia" w:ascii="华文宋体" w:hAnsi="华文宋体" w:eastAsia="华文宋体" w:cs="华文宋体"/>
          <w:bCs/>
          <w:color w:val="auto"/>
          <w:sz w:val="28"/>
          <w:szCs w:val="28"/>
          <w:highlight w:val="none"/>
        </w:rPr>
        <w:t>:</w:t>
      </w:r>
      <w:r>
        <w:rPr>
          <w:rFonts w:hint="eastAsia" w:ascii="华文宋体" w:hAnsi="华文宋体" w:eastAsia="华文宋体" w:cs="华文宋体"/>
          <w:bCs/>
          <w:color w:val="auto"/>
          <w:sz w:val="28"/>
          <w:szCs w:val="28"/>
          <w:highlight w:val="none"/>
          <w:u w:val="single"/>
        </w:rPr>
        <w:t xml:space="preserve">   </w:t>
      </w:r>
      <w:r>
        <w:rPr>
          <w:rFonts w:hint="eastAsia" w:ascii="华文宋体" w:hAnsi="华文宋体" w:eastAsia="华文宋体" w:cs="华文宋体"/>
          <w:bCs/>
          <w:color w:val="auto"/>
          <w:sz w:val="28"/>
          <w:szCs w:val="28"/>
          <w:highlight w:val="none"/>
        </w:rPr>
        <w:t>前不得启封</w:t>
      </w:r>
    </w:p>
    <w:p>
      <w:pPr>
        <w:autoSpaceDE w:val="0"/>
        <w:autoSpaceDN w:val="0"/>
        <w:spacing w:line="240" w:lineRule="atLeast"/>
        <w:ind w:left="720" w:leftChars="400" w:firstLine="547" w:firstLineChars="195"/>
        <w:jc w:val="left"/>
        <w:rPr>
          <w:rFonts w:hint="eastAsia" w:ascii="华文宋体" w:hAnsi="华文宋体" w:eastAsia="华文宋体" w:cs="华文宋体"/>
          <w:b/>
          <w:color w:val="auto"/>
          <w:sz w:val="28"/>
          <w:szCs w:val="28"/>
          <w:highlight w:val="none"/>
        </w:rPr>
      </w:pPr>
    </w:p>
    <w:p>
      <w:pPr>
        <w:autoSpaceDE w:val="0"/>
        <w:autoSpaceDN w:val="0"/>
        <w:spacing w:line="240" w:lineRule="atLeast"/>
        <w:ind w:left="720" w:leftChars="400" w:firstLine="547" w:firstLineChars="195"/>
        <w:jc w:val="left"/>
        <w:rPr>
          <w:rFonts w:hint="eastAsia" w:ascii="华文宋体" w:hAnsi="华文宋体" w:eastAsia="华文宋体" w:cs="华文宋体"/>
          <w:b/>
          <w:color w:val="auto"/>
          <w:sz w:val="28"/>
          <w:szCs w:val="28"/>
          <w:highlight w:val="none"/>
        </w:rPr>
      </w:pPr>
    </w:p>
    <w:p>
      <w:pPr>
        <w:autoSpaceDE w:val="0"/>
        <w:autoSpaceDN w:val="0"/>
        <w:spacing w:line="240" w:lineRule="atLeast"/>
        <w:jc w:val="center"/>
        <w:rPr>
          <w:rFonts w:hint="eastAsia" w:ascii="华文宋体" w:hAnsi="华文宋体" w:eastAsia="华文宋体" w:cs="华文宋体"/>
          <w:b/>
          <w:color w:val="auto"/>
          <w:sz w:val="32"/>
          <w:szCs w:val="32"/>
          <w:highlight w:val="none"/>
        </w:rPr>
      </w:pPr>
      <w:bookmarkStart w:id="167" w:name="_Hlk7197378"/>
      <w:r>
        <w:rPr>
          <w:rFonts w:hint="eastAsia" w:ascii="华文宋体" w:hAnsi="华文宋体" w:eastAsia="华文宋体" w:cs="华文宋体"/>
          <w:b/>
          <w:color w:val="auto"/>
          <w:sz w:val="32"/>
          <w:szCs w:val="32"/>
          <w:highlight w:val="none"/>
        </w:rPr>
        <w:t>目 录</w:t>
      </w:r>
    </w:p>
    <w:p>
      <w:pPr>
        <w:autoSpaceDE w:val="0"/>
        <w:autoSpaceDN w:val="0"/>
        <w:spacing w:line="240" w:lineRule="atLeast"/>
        <w:ind w:left="547" w:leftChars="304"/>
        <w:jc w:val="left"/>
        <w:rPr>
          <w:rFonts w:hint="eastAsia" w:ascii="华文宋体" w:hAnsi="华文宋体" w:eastAsia="华文宋体" w:cs="华文宋体"/>
          <w:b/>
          <w:color w:val="auto"/>
          <w:sz w:val="28"/>
          <w:szCs w:val="28"/>
          <w:highlight w:val="none"/>
        </w:rPr>
      </w:pPr>
    </w:p>
    <w:p>
      <w:pPr>
        <w:numPr>
          <w:ilvl w:val="0"/>
          <w:numId w:val="142"/>
        </w:numPr>
        <w:autoSpaceDE w:val="0"/>
        <w:autoSpaceDN w:val="0"/>
        <w:spacing w:after="120" w:afterLines="50" w:line="360" w:lineRule="auto"/>
        <w:ind w:left="547" w:leftChars="304"/>
        <w:jc w:val="left"/>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初步评审文件</w:t>
      </w:r>
    </w:p>
    <w:p>
      <w:pPr>
        <w:autoSpaceDE w:val="0"/>
        <w:autoSpaceDN w:val="0"/>
        <w:spacing w:after="120" w:afterLines="50" w:line="360" w:lineRule="auto"/>
        <w:ind w:left="547" w:leftChars="304"/>
        <w:jc w:val="left"/>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（一）初步评审自查表 ...................</w:t>
      </w:r>
    </w:p>
    <w:p>
      <w:pPr>
        <w:autoSpaceDE w:val="0"/>
        <w:autoSpaceDN w:val="0"/>
        <w:spacing w:after="120" w:afterLines="50" w:line="360" w:lineRule="auto"/>
        <w:ind w:left="547" w:leftChars="304" w:firstLine="280" w:firstLineChars="100"/>
        <w:jc w:val="left"/>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1、...................................................</w:t>
      </w:r>
    </w:p>
    <w:p>
      <w:pPr>
        <w:autoSpaceDE w:val="0"/>
        <w:autoSpaceDN w:val="0"/>
        <w:spacing w:after="120" w:afterLines="50" w:line="360" w:lineRule="auto"/>
        <w:ind w:left="547" w:leftChars="304" w:firstLine="280" w:firstLineChars="100"/>
        <w:jc w:val="left"/>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2、...................................................</w:t>
      </w:r>
    </w:p>
    <w:p>
      <w:pPr>
        <w:autoSpaceDE w:val="0"/>
        <w:autoSpaceDN w:val="0"/>
        <w:spacing w:after="120" w:afterLines="50" w:line="360" w:lineRule="auto"/>
        <w:ind w:left="547" w:leftChars="304" w:firstLine="280" w:firstLineChars="100"/>
        <w:jc w:val="left"/>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w:t>
      </w:r>
    </w:p>
    <w:p>
      <w:pPr>
        <w:autoSpaceDE w:val="0"/>
        <w:autoSpaceDN w:val="0"/>
        <w:spacing w:after="120" w:afterLines="50" w:line="360" w:lineRule="auto"/>
        <w:ind w:left="547" w:leftChars="304"/>
        <w:jc w:val="left"/>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（二）商务文件</w:t>
      </w:r>
    </w:p>
    <w:p>
      <w:pPr>
        <w:autoSpaceDE w:val="0"/>
        <w:autoSpaceDN w:val="0"/>
        <w:spacing w:after="120" w:afterLines="50" w:line="360" w:lineRule="auto"/>
        <w:ind w:left="547" w:leftChars="304"/>
        <w:jc w:val="left"/>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（三）技术文件</w:t>
      </w:r>
    </w:p>
    <w:p>
      <w:pPr>
        <w:autoSpaceDE w:val="0"/>
        <w:autoSpaceDN w:val="0"/>
        <w:spacing w:after="120" w:afterLines="50" w:line="360" w:lineRule="auto"/>
        <w:ind w:left="547" w:leftChars="304"/>
        <w:jc w:val="left"/>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（四）报价文件</w:t>
      </w:r>
    </w:p>
    <w:p>
      <w:pPr>
        <w:autoSpaceDE w:val="0"/>
        <w:autoSpaceDN w:val="0"/>
        <w:spacing w:line="360" w:lineRule="auto"/>
        <w:ind w:left="547" w:leftChars="304"/>
        <w:jc w:val="left"/>
        <w:rPr>
          <w:rFonts w:hint="eastAsia" w:ascii="华文宋体" w:hAnsi="华文宋体" w:eastAsia="华文宋体" w:cs="华文宋体"/>
          <w:bCs/>
          <w:color w:val="auto"/>
          <w:sz w:val="28"/>
          <w:szCs w:val="28"/>
          <w:highlight w:val="none"/>
        </w:rPr>
      </w:pPr>
      <w:r>
        <w:rPr>
          <w:rFonts w:hint="eastAsia" w:ascii="华文宋体" w:hAnsi="华文宋体" w:eastAsia="华文宋体" w:cs="华文宋体"/>
          <w:bCs/>
          <w:color w:val="auto"/>
          <w:sz w:val="28"/>
          <w:szCs w:val="28"/>
          <w:highlight w:val="none"/>
        </w:rPr>
        <w:t>（五）电子文件光盘</w:t>
      </w:r>
    </w:p>
    <w:p>
      <w:pPr>
        <w:autoSpaceDE w:val="0"/>
        <w:autoSpaceDN w:val="0"/>
        <w:spacing w:line="240" w:lineRule="atLeast"/>
        <w:ind w:left="547" w:leftChars="304"/>
        <w:jc w:val="left"/>
        <w:rPr>
          <w:rFonts w:hint="eastAsia" w:ascii="华文宋体" w:hAnsi="华文宋体" w:eastAsia="华文宋体" w:cs="华文宋体"/>
          <w:bCs/>
          <w:color w:val="auto"/>
          <w:sz w:val="28"/>
          <w:szCs w:val="28"/>
          <w:highlight w:val="none"/>
        </w:rPr>
      </w:pPr>
    </w:p>
    <w:p>
      <w:pPr>
        <w:autoSpaceDE w:val="0"/>
        <w:autoSpaceDN w:val="0"/>
        <w:spacing w:line="240" w:lineRule="atLeast"/>
        <w:ind w:left="547" w:leftChars="304"/>
        <w:jc w:val="left"/>
        <w:rPr>
          <w:rFonts w:hint="eastAsia" w:ascii="华文宋体" w:hAnsi="华文宋体" w:eastAsia="华文宋体" w:cs="华文宋体"/>
          <w:b/>
          <w:color w:val="auto"/>
          <w:sz w:val="24"/>
          <w:szCs w:val="24"/>
          <w:highlight w:val="none"/>
        </w:rPr>
      </w:pPr>
      <w:r>
        <w:rPr>
          <w:rFonts w:hint="eastAsia" w:ascii="华文宋体" w:hAnsi="华文宋体" w:eastAsia="华文宋体" w:cs="华文宋体"/>
          <w:b/>
          <w:color w:val="auto"/>
          <w:sz w:val="24"/>
          <w:szCs w:val="24"/>
          <w:highlight w:val="none"/>
        </w:rPr>
        <w:t>备注：目录格式自拟</w:t>
      </w:r>
    </w:p>
    <w:bookmarkEnd w:id="167"/>
    <w:p>
      <w:pPr>
        <w:autoSpaceDE w:val="0"/>
        <w:autoSpaceDN w:val="0"/>
        <w:spacing w:line="240" w:lineRule="atLeast"/>
        <w:ind w:left="720" w:leftChars="400" w:firstLine="547" w:firstLineChars="195"/>
        <w:jc w:val="left"/>
        <w:rPr>
          <w:rFonts w:hint="eastAsia" w:ascii="华文宋体" w:hAnsi="华文宋体" w:eastAsia="华文宋体" w:cs="华文宋体"/>
          <w:b/>
          <w:color w:val="auto"/>
          <w:sz w:val="28"/>
          <w:szCs w:val="28"/>
          <w:highlight w:val="none"/>
        </w:rPr>
      </w:pPr>
    </w:p>
    <w:p>
      <w:pPr>
        <w:tabs>
          <w:tab w:val="left" w:pos="720"/>
        </w:tabs>
        <w:jc w:val="center"/>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w:br w:type="page"/>
      </w:r>
    </w:p>
    <w:p>
      <w:pPr>
        <w:tabs>
          <w:tab w:val="left" w:pos="720"/>
        </w:tabs>
        <w:jc w:val="center"/>
        <w:rPr>
          <w:rFonts w:hint="eastAsia" w:ascii="华文宋体" w:hAnsi="华文宋体" w:eastAsia="华文宋体" w:cs="华文宋体"/>
          <w:b/>
          <w:color w:val="auto"/>
          <w:sz w:val="28"/>
          <w:szCs w:val="28"/>
          <w:highlight w:val="none"/>
        </w:rPr>
      </w:pPr>
    </w:p>
    <w:p>
      <w:pPr>
        <w:autoSpaceDE w:val="0"/>
        <w:autoSpaceDN w:val="0"/>
        <w:spacing w:line="240" w:lineRule="atLeast"/>
        <w:jc w:val="left"/>
        <w:rPr>
          <w:rFonts w:hint="eastAsia" w:ascii="华文宋体" w:hAnsi="华文宋体" w:eastAsia="华文宋体" w:cs="华文宋体"/>
          <w:b/>
          <w:color w:val="auto"/>
          <w:sz w:val="28"/>
          <w:szCs w:val="28"/>
          <w:highlight w:val="none"/>
        </w:rPr>
      </w:pPr>
    </w:p>
    <w:p>
      <w:pPr>
        <w:autoSpaceDE w:val="0"/>
        <w:autoSpaceDN w:val="0"/>
        <w:spacing w:line="240" w:lineRule="atLeast"/>
        <w:jc w:val="left"/>
        <w:rPr>
          <w:rFonts w:hint="eastAsia" w:ascii="华文宋体" w:hAnsi="华文宋体" w:eastAsia="华文宋体" w:cs="华文宋体"/>
          <w:b/>
          <w:color w:val="auto"/>
          <w:sz w:val="28"/>
          <w:szCs w:val="28"/>
          <w:highlight w:val="none"/>
        </w:rPr>
      </w:pPr>
    </w:p>
    <w:p>
      <w:pPr>
        <w:rPr>
          <w:rFonts w:hint="eastAsia" w:ascii="华文宋体" w:hAnsi="华文宋体" w:eastAsia="华文宋体" w:cs="华文宋体"/>
          <w:color w:val="auto"/>
          <w:sz w:val="44"/>
          <w:szCs w:val="44"/>
          <w:highlight w:val="none"/>
        </w:rPr>
      </w:pPr>
      <w:bookmarkStart w:id="168" w:name="_Toc17698"/>
      <w:bookmarkStart w:id="169" w:name="_Toc29178"/>
      <w:bookmarkStart w:id="170" w:name="_Toc202819877"/>
      <w:bookmarkStart w:id="171" w:name="_Toc202820350"/>
      <w:bookmarkStart w:id="172" w:name="_Toc202816995"/>
      <w:bookmarkStart w:id="173" w:name="_Toc202254104"/>
      <w:bookmarkStart w:id="174" w:name="_Toc202251699"/>
      <w:bookmarkStart w:id="175" w:name="_Toc255669488"/>
      <w:bookmarkStart w:id="176" w:name="_Toc202251074"/>
      <w:bookmarkStart w:id="177" w:name="_Toc202252033"/>
    </w:p>
    <w:p>
      <w:pPr>
        <w:pStyle w:val="47"/>
        <w:rPr>
          <w:rFonts w:hint="eastAsia" w:ascii="华文宋体" w:hAnsi="华文宋体" w:eastAsia="华文宋体" w:cs="华文宋体"/>
          <w:color w:val="auto"/>
          <w:sz w:val="44"/>
          <w:szCs w:val="44"/>
          <w:highlight w:val="none"/>
        </w:rPr>
      </w:pPr>
    </w:p>
    <w:p>
      <w:pPr>
        <w:rPr>
          <w:rFonts w:hint="eastAsia" w:ascii="华文宋体" w:hAnsi="华文宋体" w:eastAsia="华文宋体" w:cs="华文宋体"/>
          <w:color w:val="auto"/>
          <w:sz w:val="44"/>
          <w:szCs w:val="44"/>
          <w:highlight w:val="none"/>
        </w:rPr>
      </w:pPr>
    </w:p>
    <w:p>
      <w:pPr>
        <w:rPr>
          <w:rFonts w:hint="eastAsia" w:ascii="华文宋体" w:hAnsi="华文宋体" w:eastAsia="华文宋体" w:cs="华文宋体"/>
          <w:color w:val="auto"/>
          <w:sz w:val="44"/>
          <w:szCs w:val="44"/>
          <w:highlight w:val="none"/>
        </w:rPr>
      </w:pPr>
    </w:p>
    <w:p>
      <w:pPr>
        <w:pStyle w:val="6"/>
        <w:tabs>
          <w:tab w:val="clear" w:pos="851"/>
        </w:tabs>
        <w:jc w:val="center"/>
        <w:rPr>
          <w:rFonts w:hint="eastAsia" w:ascii="华文宋体" w:hAnsi="华文宋体" w:eastAsia="华文宋体" w:cs="华文宋体"/>
          <w:b/>
          <w:bCs/>
          <w:color w:val="auto"/>
          <w:sz w:val="44"/>
          <w:szCs w:val="44"/>
          <w:highlight w:val="none"/>
        </w:rPr>
      </w:pPr>
      <w:r>
        <w:rPr>
          <w:rFonts w:hint="eastAsia" w:ascii="华文宋体" w:hAnsi="华文宋体" w:eastAsia="华文宋体" w:cs="华文宋体"/>
          <w:b/>
          <w:bCs/>
          <w:color w:val="auto"/>
          <w:sz w:val="44"/>
          <w:szCs w:val="44"/>
          <w:highlight w:val="none"/>
        </w:rPr>
        <w:t>（一）初步评审文件</w:t>
      </w:r>
      <w:bookmarkEnd w:id="168"/>
      <w:bookmarkEnd w:id="169"/>
    </w:p>
    <w:p>
      <w:pPr>
        <w:pStyle w:val="7"/>
        <w:spacing w:line="240" w:lineRule="auto"/>
        <w:jc w:val="center"/>
        <w:rPr>
          <w:rFonts w:hint="eastAsia" w:ascii="华文宋体" w:hAnsi="华文宋体" w:eastAsia="华文宋体" w:cs="华文宋体"/>
          <w:b/>
          <w:bCs/>
          <w:color w:val="auto"/>
          <w:highlight w:val="none"/>
        </w:rPr>
        <w:sectPr>
          <w:pgSz w:w="11906" w:h="16838"/>
          <w:pgMar w:top="1610" w:right="1293" w:bottom="1553" w:left="1349" w:header="850" w:footer="992" w:gutter="0"/>
          <w:cols w:space="0" w:num="1"/>
          <w:rtlGutter w:val="0"/>
          <w:docGrid w:type="lines" w:linePitch="312" w:charSpace="0"/>
        </w:sectPr>
      </w:pPr>
    </w:p>
    <w:p>
      <w:pPr>
        <w:pStyle w:val="7"/>
        <w:spacing w:before="120" w:beforeLines="50" w:after="240" w:afterLines="100" w:line="240" w:lineRule="auto"/>
        <w:jc w:val="center"/>
        <w:rPr>
          <w:rFonts w:hint="eastAsia" w:ascii="华文宋体" w:hAnsi="华文宋体" w:eastAsia="华文宋体" w:cs="华文宋体"/>
          <w:b/>
          <w:color w:val="auto"/>
          <w:sz w:val="32"/>
          <w:szCs w:val="32"/>
          <w:highlight w:val="none"/>
          <w:lang w:bidi="ar"/>
        </w:rPr>
      </w:pPr>
      <w:r>
        <w:rPr>
          <w:rFonts w:hint="eastAsia" w:ascii="华文宋体" w:hAnsi="华文宋体" w:eastAsia="华文宋体" w:cs="华文宋体"/>
          <w:b/>
          <w:color w:val="auto"/>
          <w:sz w:val="32"/>
          <w:szCs w:val="32"/>
          <w:highlight w:val="none"/>
          <w:lang w:bidi="ar"/>
        </w:rPr>
        <w:t>初步评审自查表</w:t>
      </w:r>
      <w:bookmarkEnd w:id="170"/>
      <w:bookmarkEnd w:id="171"/>
      <w:bookmarkEnd w:id="172"/>
      <w:bookmarkEnd w:id="173"/>
      <w:bookmarkEnd w:id="174"/>
      <w:bookmarkEnd w:id="175"/>
      <w:bookmarkEnd w:id="176"/>
      <w:bookmarkEnd w:id="177"/>
    </w:p>
    <w:tbl>
      <w:tblPr>
        <w:tblStyle w:val="30"/>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608"/>
        <w:gridCol w:w="717"/>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731" w:type="dxa"/>
            <w:shd w:val="clear" w:color="auto" w:fill="D7D7D7"/>
            <w:noWrap w:val="0"/>
            <w:tcMar>
              <w:top w:w="57" w:type="dxa"/>
              <w:left w:w="108" w:type="dxa"/>
              <w:bottom w:w="57" w:type="dxa"/>
              <w:right w:w="108" w:type="dxa"/>
            </w:tcMar>
            <w:vAlign w:val="center"/>
          </w:tcPr>
          <w:p>
            <w:pPr>
              <w:spacing w:line="460" w:lineRule="exact"/>
              <w:jc w:val="center"/>
              <w:rPr>
                <w:rFonts w:hint="eastAsia" w:ascii="华文宋体" w:hAnsi="华文宋体" w:eastAsia="华文宋体" w:cs="华文宋体"/>
                <w:b/>
                <w:color w:val="auto"/>
                <w:sz w:val="23"/>
                <w:szCs w:val="23"/>
                <w:highlight w:val="none"/>
              </w:rPr>
            </w:pPr>
            <w:bookmarkStart w:id="178" w:name="_Hlk7197450"/>
            <w:r>
              <w:rPr>
                <w:rFonts w:hint="eastAsia" w:ascii="华文宋体" w:hAnsi="华文宋体" w:eastAsia="华文宋体" w:cs="华文宋体"/>
                <w:b/>
                <w:color w:val="auto"/>
                <w:sz w:val="23"/>
                <w:szCs w:val="23"/>
                <w:highlight w:val="none"/>
              </w:rPr>
              <w:t>序号</w:t>
            </w:r>
          </w:p>
        </w:tc>
        <w:tc>
          <w:tcPr>
            <w:tcW w:w="6608" w:type="dxa"/>
            <w:shd w:val="clear" w:color="auto" w:fill="D7D7D7"/>
            <w:noWrap w:val="0"/>
            <w:tcMar>
              <w:top w:w="57" w:type="dxa"/>
              <w:left w:w="108" w:type="dxa"/>
              <w:bottom w:w="57" w:type="dxa"/>
              <w:right w:w="108" w:type="dxa"/>
            </w:tcMar>
            <w:vAlign w:val="center"/>
          </w:tcPr>
          <w:p>
            <w:pPr>
              <w:spacing w:line="460" w:lineRule="exact"/>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评 审 内 容</w:t>
            </w:r>
          </w:p>
        </w:tc>
        <w:tc>
          <w:tcPr>
            <w:tcW w:w="717" w:type="dxa"/>
            <w:shd w:val="clear" w:color="auto" w:fill="D7D7D7"/>
            <w:noWrap w:val="0"/>
            <w:tcMar>
              <w:top w:w="57" w:type="dxa"/>
              <w:left w:w="108" w:type="dxa"/>
              <w:bottom w:w="57" w:type="dxa"/>
              <w:right w:w="108" w:type="dxa"/>
            </w:tcMar>
            <w:vAlign w:val="center"/>
          </w:tcPr>
          <w:p>
            <w:pPr>
              <w:spacing w:line="460" w:lineRule="exact"/>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符合</w:t>
            </w:r>
          </w:p>
        </w:tc>
        <w:tc>
          <w:tcPr>
            <w:tcW w:w="1197" w:type="dxa"/>
            <w:shd w:val="clear" w:color="auto" w:fill="D7D7D7"/>
            <w:noWrap w:val="0"/>
            <w:tcMar>
              <w:top w:w="57" w:type="dxa"/>
              <w:left w:w="108" w:type="dxa"/>
              <w:bottom w:w="57" w:type="dxa"/>
              <w:right w:w="108" w:type="dxa"/>
            </w:tcMar>
            <w:vAlign w:val="center"/>
          </w:tcPr>
          <w:p>
            <w:pPr>
              <w:spacing w:line="460" w:lineRule="exact"/>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具有独立承担民事责任的能力（提供在中华人民共和国境内注册的法人或其他组织的营业执照或事业单位法人证书或社会团体法人登记证书或执业许可证复印件，如供应商为自然人的提供自然人身份证明复印件；如国家另有规定的，则从其规定。【分支机构响应，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41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具有良好的商业信誉和健全的财务会计制度。【提供磋商响应声明函】</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41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bCs/>
                <w:color w:val="auto"/>
                <w:sz w:val="23"/>
                <w:szCs w:val="23"/>
                <w:highlight w:val="none"/>
              </w:rPr>
              <w:t>具有履行合同所必需的设备和专业技术能力。【提供</w:t>
            </w:r>
            <w:r>
              <w:rPr>
                <w:rFonts w:hint="eastAsia" w:ascii="华文宋体" w:hAnsi="华文宋体" w:eastAsia="华文宋体" w:cs="华文宋体"/>
                <w:color w:val="auto"/>
                <w:sz w:val="23"/>
                <w:szCs w:val="23"/>
                <w:highlight w:val="none"/>
              </w:rPr>
              <w:t>磋商响应声明函</w:t>
            </w:r>
            <w:r>
              <w:rPr>
                <w:rFonts w:hint="eastAsia" w:ascii="华文宋体" w:hAnsi="华文宋体" w:eastAsia="华文宋体" w:cs="华文宋体"/>
                <w:bCs/>
                <w:color w:val="auto"/>
                <w:sz w:val="23"/>
                <w:szCs w:val="23"/>
                <w:highlight w:val="none"/>
              </w:rPr>
              <w:t>】</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41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bCs/>
                <w:color w:val="auto"/>
                <w:sz w:val="23"/>
                <w:szCs w:val="23"/>
                <w:highlight w:val="none"/>
              </w:rPr>
              <w:t>有依法缴纳税收和社会保障资金的良好记录。【提供</w:t>
            </w:r>
            <w:r>
              <w:rPr>
                <w:rFonts w:hint="eastAsia" w:ascii="华文宋体" w:hAnsi="华文宋体" w:eastAsia="华文宋体" w:cs="华文宋体"/>
                <w:color w:val="auto"/>
                <w:sz w:val="23"/>
                <w:szCs w:val="23"/>
                <w:highlight w:val="none"/>
              </w:rPr>
              <w:t>磋商响应声明函</w:t>
            </w:r>
            <w:r>
              <w:rPr>
                <w:rFonts w:hint="eastAsia" w:ascii="华文宋体" w:hAnsi="华文宋体" w:eastAsia="华文宋体" w:cs="华文宋体"/>
                <w:bCs/>
                <w:color w:val="auto"/>
                <w:sz w:val="23"/>
                <w:szCs w:val="23"/>
                <w:highlight w:val="none"/>
              </w:rPr>
              <w:t>】</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参加政府采购活动前三年内，在经营活动中没有重大违法记录（重大违法记录，是指供应商因违法经营受到刑事处罚或者责令停产停业、吊销许可证或者执照、较大数额罚款等行政处罚。（根据财库〔2022〕3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 ）【提供磋商响应声明函】</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lang w:val="zh-CN"/>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r>
              <w:rPr>
                <w:rFonts w:hint="eastAsia" w:ascii="华文宋体" w:hAnsi="华文宋体" w:eastAsia="华文宋体" w:cs="华文宋体"/>
                <w:color w:val="auto"/>
                <w:sz w:val="23"/>
                <w:szCs w:val="23"/>
                <w:highlight w:val="none"/>
              </w:rPr>
              <w:t>提供资格声明函，</w:t>
            </w:r>
            <w:r>
              <w:rPr>
                <w:rFonts w:hint="eastAsia" w:ascii="华文宋体" w:hAnsi="华文宋体" w:eastAsia="华文宋体" w:cs="华文宋体"/>
                <w:color w:val="auto"/>
                <w:sz w:val="23"/>
                <w:szCs w:val="23"/>
                <w:highlight w:val="none"/>
                <w:lang w:val="zh-CN"/>
              </w:rPr>
              <w:t>以采购代理机构或采购人于资格审查时在上述网站查询结果为准，如在上述网站查询结果均显示没有相关记录，视为没有上述不良信用记录。同时对信用信息查询记录和证据截图存档。如相关失信记录已失效，供应商须提供相关证明资料】</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法定代表人或单位负责人为同一人或者存在直接控股、管理关系的不同供应商，不得参加同一合同项下的政府采购活动；为项目提供整体设计、规范编制或者项目管理、监理、检测等服务的供应商，不得再参加该项目的其他采购活动。【提供磋商响应声明函】</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已向采购代理机构报名购买本项目竞争性磋商文件。</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供应商为独立法人或组织，非联合体。【提供磋商响应声明函】</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lang w:val="zh-CN"/>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36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按照竞争性磋商文件规定要求密封、签署和盖章的。</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lang w:val="zh-CN"/>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36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法定代表人证明书及授权委托书（法人本人参加的可不提供授权委托书）。</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lang w:val="zh-CN"/>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36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磋商报价是唯一的且无备选方案，未超过最高限价。</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lang w:val="zh-CN"/>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360" w:lineRule="exac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磋商响应文件完全满足竞争性磋商文件的实质性性响应条款（即标注★号条款）无负偏离的。</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lang w:val="zh-CN"/>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未存在有关法律、法规、规章或磋商文件规定的属于响应无效的情形。</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lang w:val="zh-CN"/>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落实政府采购政策需满足的资格要求：提供《中小企业声明函》</w:t>
            </w:r>
            <w:r>
              <w:rPr>
                <w:rFonts w:hint="eastAsia" w:ascii="华文宋体" w:hAnsi="华文宋体" w:eastAsia="华文宋体" w:cs="华文宋体"/>
                <w:color w:val="auto"/>
                <w:sz w:val="23"/>
                <w:szCs w:val="23"/>
                <w:highlight w:val="none"/>
                <w:lang w:eastAsia="zh-CN"/>
              </w:rPr>
              <w:t>。</w:t>
            </w:r>
            <w:r>
              <w:rPr>
                <w:rFonts w:hint="eastAsia" w:ascii="华文宋体" w:hAnsi="华文宋体" w:eastAsia="华文宋体" w:cs="华文宋体"/>
                <w:color w:val="auto"/>
                <w:sz w:val="23"/>
                <w:szCs w:val="23"/>
                <w:highlight w:val="none"/>
              </w:rPr>
              <w:t>本项目的中小企业划分标准所属行业为：其他未列明行业。）</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lang w:val="zh-CN"/>
              </w:rPr>
            </w:pPr>
            <w:r>
              <w:rPr>
                <w:rFonts w:hint="eastAsia" w:ascii="华文宋体" w:hAnsi="华文宋体" w:eastAsia="华文宋体" w:cs="华文宋体"/>
                <w:b/>
                <w:bCs/>
                <w:color w:val="auto"/>
                <w:sz w:val="23"/>
                <w:szCs w:val="23"/>
                <w:highlight w:val="none"/>
                <w:lang w:val="zh-CN"/>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本项目的特定资格要求：响应供应商提供交通行政主管部门审核通过的二类及以上机动车维修经营备案证明材料复印件，或提供承诺函承诺中标后一个月内完成二类及以上机动车维修经营备案。</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lang w:val="zh-CN"/>
              </w:rPr>
            </w:pPr>
            <w:r>
              <w:rPr>
                <w:rFonts w:hint="eastAsia" w:ascii="华文宋体" w:hAnsi="华文宋体" w:eastAsia="华文宋体" w:cs="华文宋体"/>
                <w:b/>
                <w:bCs/>
                <w:color w:val="auto"/>
                <w:sz w:val="23"/>
                <w:szCs w:val="23"/>
                <w:highlight w:val="none"/>
                <w:lang w:val="zh-CN"/>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磋商折扣率报价已确定在</w:t>
            </w:r>
            <w:r>
              <w:rPr>
                <w:rFonts w:hint="eastAsia" w:ascii="华文宋体" w:hAnsi="华文宋体" w:eastAsia="华文宋体" w:cs="华文宋体"/>
                <w:color w:val="auto"/>
                <w:sz w:val="23"/>
                <w:szCs w:val="23"/>
                <w:highlight w:val="none"/>
                <w:lang w:val="en-US" w:eastAsia="zh-CN"/>
              </w:rPr>
              <w:t>(</w:t>
            </w:r>
            <w:r>
              <w:rPr>
                <w:rFonts w:hint="eastAsia" w:ascii="华文宋体" w:hAnsi="华文宋体" w:eastAsia="华文宋体" w:cs="华文宋体"/>
                <w:color w:val="auto"/>
                <w:sz w:val="23"/>
                <w:szCs w:val="23"/>
                <w:highlight w:val="none"/>
              </w:rPr>
              <w:t>0,100%](包含本数)，是固定唯一值的。</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lang w:val="zh-CN"/>
              </w:rPr>
            </w:pPr>
            <w:r>
              <w:rPr>
                <w:rFonts w:hint="eastAsia" w:ascii="华文宋体" w:hAnsi="华文宋体" w:eastAsia="华文宋体" w:cs="华文宋体"/>
                <w:b/>
                <w:bCs/>
                <w:color w:val="auto"/>
                <w:sz w:val="23"/>
                <w:szCs w:val="23"/>
                <w:highlight w:val="none"/>
                <w:lang w:val="zh-CN"/>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noWrap w:val="0"/>
            <w:tcMar>
              <w:top w:w="57" w:type="dxa"/>
              <w:left w:w="108" w:type="dxa"/>
              <w:bottom w:w="57" w:type="dxa"/>
              <w:right w:w="108" w:type="dxa"/>
            </w:tcMar>
            <w:vAlign w:val="center"/>
          </w:tcPr>
          <w:p>
            <w:pPr>
              <w:numPr>
                <w:ilvl w:val="0"/>
                <w:numId w:val="143"/>
              </w:numPr>
              <w:adjustRightInd w:val="0"/>
              <w:snapToGrid w:val="0"/>
              <w:spacing w:line="460" w:lineRule="exact"/>
              <w:jc w:val="center"/>
              <w:rPr>
                <w:rFonts w:hint="eastAsia" w:ascii="华文宋体" w:hAnsi="华文宋体" w:eastAsia="华文宋体" w:cs="华文宋体"/>
                <w:color w:val="auto"/>
                <w:sz w:val="23"/>
                <w:szCs w:val="23"/>
                <w:highlight w:val="none"/>
              </w:rPr>
            </w:pPr>
          </w:p>
        </w:tc>
        <w:tc>
          <w:tcPr>
            <w:tcW w:w="6608" w:type="dxa"/>
            <w:noWrap w:val="0"/>
            <w:tcMar>
              <w:top w:w="57" w:type="dxa"/>
              <w:left w:w="108" w:type="dxa"/>
              <w:bottom w:w="57" w:type="dxa"/>
              <w:right w:w="108" w:type="dxa"/>
            </w:tcMar>
            <w:vAlign w:val="center"/>
          </w:tcPr>
          <w:p>
            <w:pPr>
              <w:adjustRightInd w:val="0"/>
              <w:snapToGrid w:val="0"/>
              <w:spacing w:line="360" w:lineRule="exact"/>
              <w:jc w:val="left"/>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附加管理费费率已确定在</w:t>
            </w:r>
            <w:r>
              <w:rPr>
                <w:rFonts w:hint="eastAsia" w:ascii="华文宋体" w:hAnsi="华文宋体" w:eastAsia="华文宋体" w:cs="华文宋体"/>
                <w:color w:val="auto"/>
                <w:sz w:val="23"/>
                <w:szCs w:val="23"/>
                <w:highlight w:val="none"/>
                <w:lang w:val="en-US" w:eastAsia="zh-CN"/>
              </w:rPr>
              <w:t>(</w:t>
            </w:r>
            <w:r>
              <w:rPr>
                <w:rFonts w:hint="eastAsia" w:ascii="华文宋体" w:hAnsi="华文宋体" w:eastAsia="华文宋体" w:cs="华文宋体"/>
                <w:color w:val="auto"/>
                <w:sz w:val="23"/>
                <w:szCs w:val="23"/>
                <w:highlight w:val="none"/>
              </w:rPr>
              <w:t>0,100%](包含本数)，是固定唯一值的。</w:t>
            </w:r>
          </w:p>
        </w:tc>
        <w:tc>
          <w:tcPr>
            <w:tcW w:w="717" w:type="dxa"/>
            <w:noWrap w:val="0"/>
            <w:tcMar>
              <w:top w:w="57" w:type="dxa"/>
              <w:left w:w="108" w:type="dxa"/>
              <w:bottom w:w="57" w:type="dxa"/>
              <w:right w:w="108" w:type="dxa"/>
            </w:tcMar>
            <w:vAlign w:val="center"/>
          </w:tcPr>
          <w:p>
            <w:pPr>
              <w:adjustRightInd w:val="0"/>
              <w:snapToGrid w:val="0"/>
              <w:spacing w:line="460" w:lineRule="exact"/>
              <w:jc w:val="center"/>
              <w:rPr>
                <w:rFonts w:hint="eastAsia" w:ascii="华文宋体" w:hAnsi="华文宋体" w:eastAsia="华文宋体" w:cs="华文宋体"/>
                <w:b/>
                <w:bCs/>
                <w:color w:val="auto"/>
                <w:sz w:val="23"/>
                <w:szCs w:val="23"/>
                <w:highlight w:val="none"/>
                <w:lang w:val="zh-CN"/>
              </w:rPr>
            </w:pPr>
            <w:r>
              <w:rPr>
                <w:rFonts w:hint="eastAsia" w:ascii="华文宋体" w:hAnsi="华文宋体" w:eastAsia="华文宋体" w:cs="华文宋体"/>
                <w:b/>
                <w:bCs/>
                <w:color w:val="auto"/>
                <w:sz w:val="23"/>
                <w:szCs w:val="23"/>
                <w:highlight w:val="none"/>
                <w:lang w:val="zh-CN"/>
              </w:rPr>
              <w:t>□</w:t>
            </w:r>
          </w:p>
        </w:tc>
        <w:tc>
          <w:tcPr>
            <w:tcW w:w="1197" w:type="dxa"/>
            <w:noWrap w:val="0"/>
            <w:tcMar>
              <w:top w:w="57" w:type="dxa"/>
              <w:left w:w="108" w:type="dxa"/>
              <w:bottom w:w="57" w:type="dxa"/>
              <w:right w:w="108" w:type="dxa"/>
            </w:tcMar>
            <w:vAlign w:val="center"/>
          </w:tcPr>
          <w:p>
            <w:pPr>
              <w:adjustRightInd w:val="0"/>
              <w:snapToGrid w:val="0"/>
              <w:spacing w:line="460" w:lineRule="exact"/>
              <w:jc w:val="left"/>
              <w:rPr>
                <w:rFonts w:hint="eastAsia" w:ascii="华文宋体" w:hAnsi="华文宋体" w:eastAsia="华文宋体" w:cs="华文宋体"/>
                <w:color w:val="auto"/>
                <w:sz w:val="23"/>
                <w:szCs w:val="23"/>
                <w:highlight w:val="none"/>
              </w:rPr>
            </w:pPr>
          </w:p>
        </w:tc>
      </w:tr>
      <w:bookmarkEnd w:id="178"/>
    </w:tbl>
    <w:p>
      <w:pPr>
        <w:spacing w:before="240" w:beforeLines="100" w:line="360" w:lineRule="auto"/>
        <w:outlineLvl w:val="1"/>
        <w:rPr>
          <w:rFonts w:hint="eastAsia" w:ascii="华文宋体" w:hAnsi="华文宋体" w:eastAsia="华文宋体" w:cs="华文宋体"/>
          <w:b/>
          <w:color w:val="auto"/>
          <w:sz w:val="22"/>
          <w:highlight w:val="none"/>
        </w:rPr>
      </w:pPr>
      <w:bookmarkStart w:id="179" w:name="_Hlk7197503"/>
      <w:r>
        <w:rPr>
          <w:rFonts w:hint="eastAsia" w:ascii="华文宋体" w:hAnsi="华文宋体" w:eastAsia="华文宋体" w:cs="华文宋体"/>
          <w:b/>
          <w:color w:val="auto"/>
          <w:sz w:val="22"/>
          <w:highlight w:val="none"/>
        </w:rPr>
        <w:t>备注：</w:t>
      </w:r>
      <w:r>
        <w:rPr>
          <w:rFonts w:hint="eastAsia" w:ascii="华文宋体" w:hAnsi="华文宋体" w:eastAsia="华文宋体" w:cs="华文宋体"/>
          <w:b/>
          <w:bCs/>
          <w:color w:val="auto"/>
          <w:sz w:val="22"/>
          <w:highlight w:val="none"/>
          <w:lang w:bidi="ar"/>
        </w:rPr>
        <w:t>以上材料将作为供应商资格审查的重要内容之一，供应商必须严格按照其内容及序列要求在磋商响应文件中对应如实提供，缺漏和不符合项将会直接导致报价无效！符合项目在对应的</w:t>
      </w:r>
      <w:r>
        <w:rPr>
          <w:rFonts w:hint="eastAsia" w:ascii="华文宋体" w:hAnsi="华文宋体" w:eastAsia="华文宋体" w:cs="华文宋体"/>
          <w:b/>
          <w:color w:val="auto"/>
          <w:sz w:val="22"/>
          <w:highlight w:val="none"/>
          <w:lang w:bidi="ar"/>
        </w:rPr>
        <w:t>□内打“√”。</w:t>
      </w:r>
    </w:p>
    <w:bookmarkEnd w:id="179"/>
    <w:p>
      <w:pPr>
        <w:adjustRightInd w:val="0"/>
        <w:snapToGrid w:val="0"/>
        <w:spacing w:before="120" w:beforeLines="50" w:line="360" w:lineRule="auto"/>
        <w:ind w:firstLine="3999" w:firstLineChars="1818"/>
        <w:rPr>
          <w:rFonts w:hint="eastAsia" w:ascii="华文宋体" w:hAnsi="华文宋体" w:eastAsia="华文宋体" w:cs="华文宋体"/>
          <w:color w:val="auto"/>
          <w:sz w:val="22"/>
          <w:highlight w:val="none"/>
        </w:rPr>
        <w:sectPr>
          <w:footerReference r:id="rId9" w:type="default"/>
          <w:pgSz w:w="11906" w:h="16838"/>
          <w:pgMar w:top="1610" w:right="1293" w:bottom="1553" w:left="1349" w:header="850" w:footer="992" w:gutter="0"/>
          <w:cols w:space="0" w:num="1"/>
          <w:rtlGutter w:val="0"/>
          <w:docGrid w:type="lines" w:linePitch="312" w:charSpace="0"/>
        </w:sectPr>
      </w:pPr>
    </w:p>
    <w:p>
      <w:pPr>
        <w:jc w:val="left"/>
        <w:rPr>
          <w:rFonts w:hint="eastAsia" w:ascii="华文宋体" w:hAnsi="华文宋体" w:eastAsia="华文宋体" w:cs="华文宋体"/>
          <w:color w:val="auto"/>
          <w:highlight w:val="none"/>
        </w:rPr>
      </w:pPr>
    </w:p>
    <w:p>
      <w:pPr>
        <w:jc w:val="center"/>
        <w:rPr>
          <w:rFonts w:hint="eastAsia" w:ascii="华文宋体" w:hAnsi="华文宋体" w:eastAsia="华文宋体" w:cs="华文宋体"/>
          <w:b/>
          <w:bCs/>
          <w:color w:val="auto"/>
          <w:sz w:val="32"/>
          <w:szCs w:val="32"/>
          <w:highlight w:val="none"/>
        </w:rPr>
      </w:pPr>
      <w:r>
        <w:rPr>
          <w:rFonts w:hint="eastAsia" w:ascii="华文宋体" w:hAnsi="华文宋体" w:eastAsia="华文宋体" w:cs="华文宋体"/>
          <w:b/>
          <w:bCs/>
          <w:color w:val="auto"/>
          <w:sz w:val="32"/>
          <w:szCs w:val="32"/>
          <w:highlight w:val="none"/>
        </w:rPr>
        <w:t>磋商响应声明函</w:t>
      </w:r>
    </w:p>
    <w:p>
      <w:pPr>
        <w:jc w:val="center"/>
        <w:rPr>
          <w:rFonts w:hint="eastAsia" w:ascii="华文宋体" w:hAnsi="华文宋体" w:eastAsia="华文宋体" w:cs="华文宋体"/>
          <w:b/>
          <w:bCs/>
          <w:color w:val="auto"/>
          <w:sz w:val="28"/>
          <w:szCs w:val="28"/>
          <w:highlight w:val="none"/>
        </w:rPr>
      </w:pPr>
    </w:p>
    <w:p>
      <w:pPr>
        <w:spacing w:after="120" w:afterLines="50" w:line="480" w:lineRule="exact"/>
        <w:rPr>
          <w:rFonts w:hint="eastAsia" w:ascii="华文宋体" w:hAnsi="华文宋体" w:eastAsia="华文宋体" w:cs="华文宋体"/>
          <w:b/>
          <w:bCs/>
          <w:color w:val="auto"/>
          <w:sz w:val="24"/>
          <w:highlight w:val="none"/>
        </w:rPr>
      </w:pPr>
      <w:r>
        <w:rPr>
          <w:rFonts w:hint="eastAsia" w:ascii="华文宋体" w:hAnsi="华文宋体" w:eastAsia="华文宋体" w:cs="华文宋体"/>
          <w:b/>
          <w:bCs/>
          <w:color w:val="auto"/>
          <w:sz w:val="24"/>
          <w:highlight w:val="none"/>
        </w:rPr>
        <w:t>致广州市越秀区消防救援大队、广东公采招标有限公司：</w:t>
      </w:r>
    </w:p>
    <w:p>
      <w:p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根据</w:t>
      </w:r>
      <w:r>
        <w:rPr>
          <w:rFonts w:hint="eastAsia" w:ascii="华文宋体" w:hAnsi="华文宋体" w:eastAsia="华文宋体" w:cs="华文宋体"/>
          <w:color w:val="auto"/>
          <w:sz w:val="24"/>
          <w:highlight w:val="none"/>
          <w:u w:val="single"/>
        </w:rPr>
        <w:t xml:space="preserve"> </w:t>
      </w:r>
      <w:r>
        <w:rPr>
          <w:rFonts w:hint="eastAsia" w:ascii="华文宋体" w:hAnsi="华文宋体" w:eastAsia="华文宋体" w:cs="华文宋体"/>
          <w:color w:val="auto"/>
          <w:sz w:val="24"/>
          <w:szCs w:val="24"/>
          <w:highlight w:val="none"/>
          <w:u w:val="single"/>
        </w:rPr>
        <w:t>广东省广州市越秀区消防救援大队2023年消防车辆维修和保养服务采购项目（项目编号:        ）</w:t>
      </w:r>
      <w:r>
        <w:rPr>
          <w:rFonts w:hint="eastAsia" w:ascii="华文宋体" w:hAnsi="华文宋体" w:eastAsia="华文宋体" w:cs="华文宋体"/>
          <w:color w:val="auto"/>
          <w:sz w:val="24"/>
          <w:highlight w:val="none"/>
        </w:rPr>
        <w:t>的磋商邀请，</w:t>
      </w:r>
      <w:r>
        <w:rPr>
          <w:rFonts w:hint="eastAsia" w:ascii="华文宋体" w:hAnsi="华文宋体" w:eastAsia="华文宋体" w:cs="华文宋体"/>
          <w:color w:val="auto"/>
          <w:sz w:val="24"/>
          <w:highlight w:val="none"/>
          <w:u w:val="single"/>
        </w:rPr>
        <w:t xml:space="preserve">       </w:t>
      </w:r>
      <w:r>
        <w:rPr>
          <w:rFonts w:hint="eastAsia" w:ascii="华文宋体" w:hAnsi="华文宋体" w:eastAsia="华文宋体" w:cs="华文宋体"/>
          <w:color w:val="auto"/>
          <w:sz w:val="24"/>
          <w:highlight w:val="none"/>
        </w:rPr>
        <w:t>（姓名、职务）代表供应商</w:t>
      </w:r>
      <w:r>
        <w:rPr>
          <w:rFonts w:hint="eastAsia" w:ascii="华文宋体" w:hAnsi="华文宋体" w:eastAsia="华文宋体" w:cs="华文宋体"/>
          <w:color w:val="auto"/>
          <w:sz w:val="24"/>
          <w:highlight w:val="none"/>
          <w:u w:val="single"/>
        </w:rPr>
        <w:t xml:space="preserve">       </w:t>
      </w:r>
      <w:r>
        <w:rPr>
          <w:rFonts w:hint="eastAsia" w:ascii="华文宋体" w:hAnsi="华文宋体" w:eastAsia="华文宋体" w:cs="华文宋体"/>
          <w:color w:val="auto"/>
          <w:sz w:val="24"/>
          <w:highlight w:val="none"/>
        </w:rPr>
        <w:t>（供应商名称、地址）参加本项目采购的有关活动。据此函，作如下承诺：</w:t>
      </w:r>
    </w:p>
    <w:p>
      <w:pPr>
        <w:numPr>
          <w:ilvl w:val="0"/>
          <w:numId w:val="144"/>
        </w:num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同意在本项目竞争性磋商文件中规定的磋商文件提交之日起</w:t>
      </w:r>
      <w:r>
        <w:rPr>
          <w:rFonts w:hint="eastAsia" w:ascii="华文宋体" w:hAnsi="华文宋体" w:eastAsia="华文宋体" w:cs="华文宋体"/>
          <w:color w:val="auto"/>
          <w:sz w:val="24"/>
          <w:highlight w:val="none"/>
          <w:u w:val="single"/>
        </w:rPr>
        <w:t>90</w:t>
      </w:r>
      <w:r>
        <w:rPr>
          <w:rFonts w:hint="eastAsia" w:ascii="华文宋体" w:hAnsi="华文宋体" w:eastAsia="华文宋体" w:cs="华文宋体"/>
          <w:color w:val="auto"/>
          <w:sz w:val="24"/>
          <w:highlight w:val="none"/>
        </w:rPr>
        <w:t>日(日历天）遵守本竞争性磋商响应文件中的承诺，且在期满之前均具有约束力。</w:t>
      </w:r>
    </w:p>
    <w:p>
      <w:pPr>
        <w:numPr>
          <w:ilvl w:val="0"/>
          <w:numId w:val="144"/>
        </w:num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我方具备政府采购相关法律法规规定的参加政府采购活动的供应商应当具备的资格条件：</w:t>
      </w:r>
    </w:p>
    <w:p>
      <w:p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(1)具有独立承担民事责任的能力；</w:t>
      </w:r>
    </w:p>
    <w:p>
      <w:p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(2)具有良好的商业信誉和健全的财务会计制度；</w:t>
      </w:r>
    </w:p>
    <w:p>
      <w:p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(3)具有履行合同所必需的设备和专业技术能力；</w:t>
      </w:r>
    </w:p>
    <w:p>
      <w:p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(4)有依法缴纳税收和社会保障资金的良好记录；</w:t>
      </w:r>
    </w:p>
    <w:p>
      <w:p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(5)参加此项采购活动前3年内，在经营活动中没有重大违法记录。</w:t>
      </w:r>
    </w:p>
    <w:p>
      <w:pPr>
        <w:numPr>
          <w:ilvl w:val="0"/>
          <w:numId w:val="144"/>
        </w:num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具备本项目磋商文件中规定的其他资格条件：</w:t>
      </w:r>
    </w:p>
    <w:p>
      <w:p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(1)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p>
    <w:p>
      <w:p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(2)法定代表人或单位负责人为同一人或者存在直接控股、管理关系的不同供应商，不得参加同一合同项下的政府采购活动。为项目提供整体设计、规范编制或者项目管理、监理、检测等服务的供应商，不得再参加该项目的其他采购活动。</w:t>
      </w:r>
    </w:p>
    <w:p>
      <w:p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(3)</w:t>
      </w:r>
      <w:r>
        <w:rPr>
          <w:rFonts w:hint="eastAsia" w:ascii="华文宋体" w:hAnsi="华文宋体" w:eastAsia="华文宋体" w:cs="华文宋体"/>
          <w:color w:val="auto"/>
          <w:sz w:val="24"/>
          <w:szCs w:val="24"/>
          <w:highlight w:val="none"/>
          <w:lang w:val="zh-CN"/>
        </w:rPr>
        <w:t>落实政府采购政策需满足的资格要求</w:t>
      </w:r>
      <w:r>
        <w:rPr>
          <w:rFonts w:hint="eastAsia" w:ascii="华文宋体" w:hAnsi="华文宋体" w:eastAsia="华文宋体" w:cs="华文宋体"/>
          <w:color w:val="auto"/>
          <w:sz w:val="24"/>
          <w:szCs w:val="24"/>
          <w:highlight w:val="none"/>
        </w:rPr>
        <w:t>:本项目属于专门面向中小企业采购项目</w:t>
      </w:r>
      <w:r>
        <w:rPr>
          <w:rFonts w:hint="eastAsia" w:ascii="华文宋体" w:hAnsi="华文宋体" w:eastAsia="华文宋体" w:cs="华文宋体"/>
          <w:color w:val="auto"/>
          <w:sz w:val="24"/>
          <w:szCs w:val="24"/>
          <w:highlight w:val="none"/>
          <w:lang w:val="zh-CN"/>
        </w:rPr>
        <w:t>。</w:t>
      </w:r>
    </w:p>
    <w:p>
      <w:p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(4)以非联合体参加本项目。</w:t>
      </w:r>
    </w:p>
    <w:p>
      <w:p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(5)未存在有关法律、法规、规章或磋商文件规定的属于响应无效的情形。</w:t>
      </w:r>
    </w:p>
    <w:p>
      <w:pPr>
        <w:numPr>
          <w:ilvl w:val="0"/>
          <w:numId w:val="144"/>
        </w:num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提供供应商须知规定的全部竞争性磋商响应文件，包括竞争性磋商响应文件正本1份，副本3份，电子文档1份，报价信封（初次报价一览表、</w:t>
      </w:r>
      <w:r>
        <w:rPr>
          <w:rFonts w:hint="eastAsia" w:ascii="华文宋体" w:hAnsi="华文宋体" w:cs="华文宋体"/>
          <w:color w:val="auto"/>
          <w:sz w:val="24"/>
          <w:highlight w:val="none"/>
          <w:lang w:val="en-US" w:eastAsia="zh-CN"/>
        </w:rPr>
        <w:t>中小企业声明函</w:t>
      </w:r>
      <w:r>
        <w:rPr>
          <w:rFonts w:hint="eastAsia" w:ascii="华文宋体" w:hAnsi="华文宋体" w:eastAsia="华文宋体" w:cs="华文宋体"/>
          <w:color w:val="auto"/>
          <w:sz w:val="24"/>
          <w:highlight w:val="none"/>
        </w:rPr>
        <w:t>）1份。</w:t>
      </w:r>
    </w:p>
    <w:p>
      <w:pPr>
        <w:numPr>
          <w:ilvl w:val="0"/>
          <w:numId w:val="144"/>
        </w:num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已详细审阅全部竞争性磋商文件（包括竞争性磋商文件澄清函），理解供应商须知的所有条款。</w:t>
      </w:r>
    </w:p>
    <w:p>
      <w:pPr>
        <w:numPr>
          <w:ilvl w:val="0"/>
          <w:numId w:val="144"/>
        </w:num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完全理解贵方“最低报价不能作为成为乙方的保证”的规定。</w:t>
      </w:r>
    </w:p>
    <w:p>
      <w:pPr>
        <w:numPr>
          <w:ilvl w:val="0"/>
          <w:numId w:val="144"/>
        </w:num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接受竞争性磋商文件中全部合同条款，且无任何异议；保证忠实地执行双方所签订的合同，并承担合同规定的责任和义务。</w:t>
      </w:r>
    </w:p>
    <w:p>
      <w:pPr>
        <w:numPr>
          <w:ilvl w:val="0"/>
          <w:numId w:val="144"/>
        </w:num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完全满足和响应竞争性磋商文件中的各项商务和技术要求，若有偏差，已在竞争性磋商响应文件中明确说明。</w:t>
      </w:r>
    </w:p>
    <w:p>
      <w:pPr>
        <w:numPr>
          <w:ilvl w:val="0"/>
          <w:numId w:val="144"/>
        </w:num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愿意提供任何与竞争性磋商响应有关的数据、情况和技术资料等。</w:t>
      </w:r>
    </w:p>
    <w:p>
      <w:pPr>
        <w:numPr>
          <w:ilvl w:val="0"/>
          <w:numId w:val="144"/>
        </w:num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如果在递交响应文件截止时间后规定的响应有效期内撤回响应，贵方可不予退还我方的磋商保证金。</w:t>
      </w:r>
    </w:p>
    <w:p>
      <w:pPr>
        <w:numPr>
          <w:ilvl w:val="0"/>
          <w:numId w:val="144"/>
        </w:num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我方已详细审核全部竞争性磋商响应文件、参考资料及有关附件，确认无误。</w:t>
      </w:r>
    </w:p>
    <w:p>
      <w:pPr>
        <w:numPr>
          <w:ilvl w:val="0"/>
          <w:numId w:val="144"/>
        </w:num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对本次采购内容及与本项目有关的知识产权、技术资料、商业秘密及相关信息保密。</w:t>
      </w:r>
    </w:p>
    <w:p>
      <w:pPr>
        <w:numPr>
          <w:ilvl w:val="0"/>
          <w:numId w:val="144"/>
        </w:numPr>
        <w:spacing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与采购人和采购代理机构无任何的隶属关系或者其他利害关系。</w:t>
      </w:r>
    </w:p>
    <w:p>
      <w:pPr>
        <w:adjustRightInd w:val="0"/>
        <w:snapToGrid w:val="0"/>
        <w:spacing w:line="480" w:lineRule="exact"/>
        <w:rPr>
          <w:rFonts w:hint="eastAsia" w:ascii="华文宋体" w:hAnsi="华文宋体" w:eastAsia="华文宋体" w:cs="华文宋体"/>
          <w:color w:val="auto"/>
          <w:spacing w:val="4"/>
          <w:sz w:val="24"/>
          <w:highlight w:val="none"/>
        </w:rPr>
      </w:pPr>
    </w:p>
    <w:p>
      <w:pPr>
        <w:adjustRightInd w:val="0"/>
        <w:snapToGrid w:val="0"/>
        <w:spacing w:line="480" w:lineRule="exact"/>
        <w:rPr>
          <w:rFonts w:hint="eastAsia" w:ascii="华文宋体" w:hAnsi="华文宋体" w:eastAsia="华文宋体" w:cs="华文宋体"/>
          <w:color w:val="auto"/>
          <w:spacing w:val="4"/>
          <w:sz w:val="24"/>
          <w:highlight w:val="none"/>
        </w:rPr>
      </w:pPr>
    </w:p>
    <w:p>
      <w:pPr>
        <w:adjustRightInd w:val="0"/>
        <w:snapToGrid w:val="0"/>
        <w:spacing w:line="480" w:lineRule="auto"/>
        <w:ind w:firstLine="2737" w:firstLineChars="1104"/>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供应商名称（公章）：</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 xml:space="preserve"> </w:t>
      </w:r>
    </w:p>
    <w:p>
      <w:pPr>
        <w:adjustRightInd w:val="0"/>
        <w:snapToGrid w:val="0"/>
        <w:spacing w:line="480" w:lineRule="auto"/>
        <w:ind w:firstLine="2737" w:firstLineChars="1104"/>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法定代表人或其授权代表（签名）：</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 xml:space="preserve">     </w:t>
      </w:r>
    </w:p>
    <w:p>
      <w:pPr>
        <w:adjustRightInd w:val="0"/>
        <w:snapToGrid w:val="0"/>
        <w:spacing w:line="480" w:lineRule="auto"/>
        <w:ind w:firstLine="2737" w:firstLineChars="1104"/>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地址：</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 xml:space="preserve">  </w:t>
      </w:r>
    </w:p>
    <w:p>
      <w:pPr>
        <w:adjustRightInd w:val="0"/>
        <w:snapToGrid w:val="0"/>
        <w:spacing w:line="480" w:lineRule="auto"/>
        <w:ind w:firstLine="2737" w:firstLineChars="1104"/>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电话：</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传真：</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邮编：</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 xml:space="preserve"> </w:t>
      </w:r>
    </w:p>
    <w:p>
      <w:pPr>
        <w:adjustRightInd w:val="0"/>
        <w:snapToGrid w:val="0"/>
        <w:spacing w:line="480" w:lineRule="auto"/>
        <w:ind w:firstLine="2737" w:firstLineChars="1104"/>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日期：</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年</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月</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日</w:t>
      </w:r>
    </w:p>
    <w:p>
      <w:pPr>
        <w:adjustRightInd w:val="0"/>
        <w:snapToGrid w:val="0"/>
        <w:spacing w:line="480" w:lineRule="auto"/>
        <w:ind w:firstLine="3779" w:firstLineChars="1524"/>
        <w:rPr>
          <w:rFonts w:hint="eastAsia" w:ascii="华文宋体" w:hAnsi="华文宋体" w:eastAsia="华文宋体" w:cs="华文宋体"/>
          <w:color w:val="auto"/>
          <w:spacing w:val="4"/>
          <w:sz w:val="24"/>
          <w:highlight w:val="none"/>
        </w:rPr>
      </w:pPr>
    </w:p>
    <w:p>
      <w:pPr>
        <w:tabs>
          <w:tab w:val="left" w:pos="1260"/>
        </w:tabs>
        <w:spacing w:line="240" w:lineRule="exact"/>
        <w:rPr>
          <w:rFonts w:hint="eastAsia" w:ascii="华文宋体" w:hAnsi="华文宋体" w:eastAsia="华文宋体" w:cs="华文宋体"/>
          <w:b/>
          <w:bCs/>
          <w:color w:val="auto"/>
          <w:sz w:val="32"/>
          <w:szCs w:val="32"/>
          <w:highlight w:val="none"/>
        </w:rPr>
      </w:pPr>
      <w:r>
        <w:rPr>
          <w:rFonts w:hint="eastAsia" w:ascii="华文宋体" w:hAnsi="华文宋体" w:eastAsia="华文宋体" w:cs="华文宋体"/>
          <w:b/>
          <w:color w:val="auto"/>
          <w:sz w:val="28"/>
          <w:szCs w:val="28"/>
          <w:highlight w:val="none"/>
        </w:rPr>
        <w:br w:type="page"/>
      </w:r>
    </w:p>
    <w:p>
      <w:pPr>
        <w:spacing w:line="480" w:lineRule="exact"/>
        <w:jc w:val="center"/>
        <w:rPr>
          <w:rFonts w:hint="eastAsia" w:ascii="华文宋体" w:hAnsi="华文宋体" w:eastAsia="华文宋体" w:cs="华文宋体"/>
          <w:b/>
          <w:bCs/>
          <w:color w:val="auto"/>
          <w:sz w:val="32"/>
          <w:szCs w:val="32"/>
          <w:highlight w:val="none"/>
        </w:rPr>
      </w:pPr>
      <w:r>
        <w:rPr>
          <w:rFonts w:hint="eastAsia" w:ascii="华文宋体" w:hAnsi="华文宋体" w:eastAsia="华文宋体" w:cs="华文宋体"/>
          <w:b/>
          <w:bCs/>
          <w:color w:val="auto"/>
          <w:sz w:val="32"/>
          <w:szCs w:val="32"/>
          <w:highlight w:val="none"/>
        </w:rPr>
        <w:t>法定代表人证明书</w:t>
      </w:r>
    </w:p>
    <w:p>
      <w:pPr>
        <w:spacing w:line="360" w:lineRule="auto"/>
        <w:rPr>
          <w:rFonts w:hint="eastAsia" w:ascii="华文宋体" w:hAnsi="华文宋体" w:eastAsia="华文宋体" w:cs="华文宋体"/>
          <w:color w:val="auto"/>
          <w:sz w:val="24"/>
          <w:highlight w:val="none"/>
        </w:rPr>
      </w:pPr>
    </w:p>
    <w:p>
      <w:pPr>
        <w:spacing w:line="360" w:lineRule="auto"/>
        <w:rPr>
          <w:rFonts w:hint="eastAsia" w:ascii="华文宋体" w:hAnsi="华文宋体" w:eastAsia="华文宋体" w:cs="华文宋体"/>
          <w:b/>
          <w:bCs/>
          <w:color w:val="auto"/>
          <w:sz w:val="24"/>
          <w:highlight w:val="none"/>
        </w:rPr>
      </w:pPr>
      <w:r>
        <w:rPr>
          <w:rFonts w:hint="eastAsia" w:ascii="华文宋体" w:hAnsi="华文宋体" w:eastAsia="华文宋体" w:cs="华文宋体"/>
          <w:b/>
          <w:bCs/>
          <w:color w:val="auto"/>
          <w:sz w:val="24"/>
          <w:highlight w:val="none"/>
        </w:rPr>
        <w:t>致</w:t>
      </w:r>
      <w:r>
        <w:rPr>
          <w:rFonts w:hint="eastAsia" w:ascii="华文宋体" w:hAnsi="华文宋体" w:cs="华文宋体"/>
          <w:b/>
          <w:bCs/>
          <w:color w:val="auto"/>
          <w:sz w:val="24"/>
          <w:highlight w:val="none"/>
          <w:lang w:val="en-US" w:eastAsia="zh-CN"/>
        </w:rPr>
        <w:t>广东省</w:t>
      </w:r>
      <w:r>
        <w:rPr>
          <w:rFonts w:hint="eastAsia" w:ascii="华文宋体" w:hAnsi="华文宋体" w:eastAsia="华文宋体" w:cs="华文宋体"/>
          <w:b/>
          <w:bCs/>
          <w:color w:val="auto"/>
          <w:sz w:val="24"/>
          <w:highlight w:val="none"/>
        </w:rPr>
        <w:t>广州市越秀区消防救援大队、广东公采招标有限公司：</w:t>
      </w:r>
    </w:p>
    <w:p>
      <w:pPr>
        <w:spacing w:before="192" w:after="72" w:line="360" w:lineRule="auto"/>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u w:val="single"/>
        </w:rPr>
        <w:t>（姓名）</w:t>
      </w:r>
      <w:r>
        <w:rPr>
          <w:rFonts w:hint="eastAsia" w:ascii="华文宋体" w:hAnsi="华文宋体" w:eastAsia="华文宋体" w:cs="华文宋体"/>
          <w:color w:val="auto"/>
          <w:sz w:val="24"/>
          <w:highlight w:val="none"/>
        </w:rPr>
        <w:t>，现任我单位</w:t>
      </w:r>
      <w:r>
        <w:rPr>
          <w:rFonts w:hint="eastAsia" w:ascii="华文宋体" w:hAnsi="华文宋体" w:eastAsia="华文宋体" w:cs="华文宋体"/>
          <w:color w:val="auto"/>
          <w:sz w:val="24"/>
          <w:highlight w:val="none"/>
          <w:u w:val="single"/>
        </w:rPr>
        <w:t>　　　　　　　</w:t>
      </w:r>
      <w:r>
        <w:rPr>
          <w:rFonts w:hint="eastAsia" w:ascii="华文宋体" w:hAnsi="华文宋体" w:eastAsia="华文宋体" w:cs="华文宋体"/>
          <w:color w:val="auto"/>
          <w:sz w:val="24"/>
          <w:highlight w:val="none"/>
        </w:rPr>
        <w:t>职务，为法定代表人，特此证明。</w:t>
      </w:r>
    </w:p>
    <w:p>
      <w:pPr>
        <w:spacing w:line="48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备注：</w:t>
      </w:r>
    </w:p>
    <w:p>
      <w:pPr>
        <w:numPr>
          <w:ilvl w:val="0"/>
          <w:numId w:val="145"/>
        </w:numPr>
        <w:spacing w:line="48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法定代表人为企业事业单位、国家机关、社会团体的主要行政负责人；</w:t>
      </w:r>
    </w:p>
    <w:p>
      <w:pPr>
        <w:numPr>
          <w:ilvl w:val="0"/>
          <w:numId w:val="145"/>
        </w:numPr>
        <w:spacing w:line="48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内容必须填写真实、清楚、涂改无效，不得转让、买卖；</w:t>
      </w:r>
    </w:p>
    <w:p>
      <w:pPr>
        <w:numPr>
          <w:ilvl w:val="0"/>
          <w:numId w:val="145"/>
        </w:numPr>
        <w:spacing w:line="48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将此证明书提交广东公采招标有限公司作为竞争性磋商响应文件附件</w:t>
      </w:r>
      <w:r>
        <w:rPr>
          <w:rFonts w:hint="eastAsia" w:ascii="华文宋体" w:hAnsi="华文宋体" w:eastAsia="华文宋体" w:cs="华文宋体"/>
          <w:bCs/>
          <w:color w:val="auto"/>
          <w:sz w:val="22"/>
          <w:highlight w:val="none"/>
        </w:rPr>
        <w:t>；</w:t>
      </w:r>
    </w:p>
    <w:p>
      <w:pPr>
        <w:numPr>
          <w:ilvl w:val="0"/>
          <w:numId w:val="145"/>
        </w:numPr>
        <w:spacing w:line="48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bCs/>
          <w:color w:val="auto"/>
          <w:sz w:val="22"/>
          <w:highlight w:val="none"/>
        </w:rPr>
        <w:t>本证明书有效期与本公司竞争性磋商响应文件成为成交供应商注的竞争性磋商响应有效期相同；</w:t>
      </w:r>
    </w:p>
    <w:p>
      <w:pPr>
        <w:numPr>
          <w:ilvl w:val="0"/>
          <w:numId w:val="145"/>
        </w:numPr>
        <w:spacing w:line="480" w:lineRule="exact"/>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独立法人均须提供。</w:t>
      </w:r>
    </w:p>
    <w:p>
      <w:pPr>
        <w:rPr>
          <w:rFonts w:hint="eastAsia" w:ascii="华文宋体" w:hAnsi="华文宋体" w:eastAsia="华文宋体" w:cs="华文宋体"/>
          <w:b/>
          <w:color w:val="auto"/>
          <w:sz w:val="24"/>
          <w:highlight w:val="none"/>
        </w:rPr>
      </w:pPr>
      <w:r>
        <w:rPr>
          <w:rFonts w:hint="eastAsia" w:ascii="华文宋体" w:hAnsi="华文宋体" w:eastAsia="华文宋体" w:cs="华文宋体"/>
          <w:color w:val="auto"/>
          <w:sz w:val="24"/>
          <w:highlight w:val="none"/>
        </w:rPr>
        <w:t xml:space="preserve"> </w:t>
      </w:r>
      <w:r>
        <w:rPr>
          <w:rFonts w:hint="eastAsia" w:ascii="华文宋体" w:hAnsi="华文宋体" w:eastAsia="华文宋体" w:cs="华文宋体"/>
          <w:b/>
          <w:color w:val="auto"/>
          <w:sz w:val="24"/>
          <w:highlight w:val="none"/>
        </w:rPr>
        <w:t xml:space="preserve"> (为避免响应无效，请供应商务必提供本附件)</w:t>
      </w:r>
    </w:p>
    <w:p>
      <w:pPr>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149860</wp:posOffset>
                </wp:positionV>
                <wp:extent cx="5725795" cy="1998980"/>
                <wp:effectExtent l="4445" t="4445" r="22860" b="15875"/>
                <wp:wrapNone/>
                <wp:docPr id="8" name="流程图: 可选过程 8"/>
                <wp:cNvGraphicFramePr/>
                <a:graphic xmlns:a="http://schemas.openxmlformats.org/drawingml/2006/main">
                  <a:graphicData uri="http://schemas.microsoft.com/office/word/2010/wordprocessingShape">
                    <wps:wsp>
                      <wps:cNvSpPr/>
                      <wps:spPr>
                        <a:xfrm>
                          <a:off x="0" y="0"/>
                          <a:ext cx="5725795" cy="19989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ascii="华文宋体" w:hAnsi="华文宋体" w:cs="华文宋体"/>
                                <w:sz w:val="24"/>
                                <w:szCs w:val="24"/>
                              </w:rPr>
                            </w:pPr>
                            <w:r>
                              <w:rPr>
                                <w:rFonts w:hint="eastAsia" w:ascii="华文宋体" w:hAnsi="华文宋体" w:cs="华文宋体"/>
                                <w:sz w:val="24"/>
                                <w:szCs w:val="24"/>
                              </w:rPr>
                              <w:t>法定代表人第二代身份证</w:t>
                            </w:r>
                          </w:p>
                          <w:p>
                            <w:pPr>
                              <w:jc w:val="center"/>
                              <w:rPr>
                                <w:rFonts w:hint="eastAsia" w:ascii="华文宋体" w:hAnsi="华文宋体" w:cs="华文宋体"/>
                                <w:sz w:val="24"/>
                                <w:szCs w:val="24"/>
                              </w:rPr>
                            </w:pPr>
                            <w:r>
                              <w:rPr>
                                <w:rFonts w:hint="eastAsia" w:ascii="华文宋体" w:hAnsi="华文宋体" w:cs="华文宋体"/>
                                <w:sz w:val="24"/>
                                <w:szCs w:val="24"/>
                              </w:rPr>
                              <w:t>正反面复印件并加盖公章</w:t>
                            </w:r>
                          </w:p>
                        </w:txbxContent>
                      </wps:txbx>
                      <wps:bodyPr wrap="square" upright="1"/>
                    </wps:wsp>
                  </a:graphicData>
                </a:graphic>
              </wp:anchor>
            </w:drawing>
          </mc:Choice>
          <mc:Fallback>
            <w:pict>
              <v:shape id="_x0000_s1026" o:spid="_x0000_s1026" o:spt="176" type="#_x0000_t176" style="position:absolute;left:0pt;margin-left:7.85pt;margin-top:11.8pt;height:157.4pt;width:450.85pt;z-index:251659264;mso-width-relative:page;mso-height-relative:page;" fillcolor="#FFFFFF" filled="t" stroked="t" coordsize="21600,21600" o:gfxdata="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KJsTnXAAAACQEAAA8AAAAAAAAAAQAgAAAAIgAAAGRycy9kb3du&#10;cmV2LnhtbFBLAQIUABQAAAAIAIdO4kDK1BMLOQIAAGwEAAAOAAAAAAAAAAEAIAAAACYBAABkcnMv&#10;ZTJvRG9jLnhtbFBLBQYAAAAABgAGAFkBAADR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ascii="华文宋体" w:hAnsi="华文宋体" w:cs="华文宋体"/>
                          <w:sz w:val="24"/>
                          <w:szCs w:val="24"/>
                        </w:rPr>
                      </w:pPr>
                      <w:r>
                        <w:rPr>
                          <w:rFonts w:hint="eastAsia" w:ascii="华文宋体" w:hAnsi="华文宋体" w:cs="华文宋体"/>
                          <w:sz w:val="24"/>
                          <w:szCs w:val="24"/>
                        </w:rPr>
                        <w:t>法定代表人第二代身份证</w:t>
                      </w:r>
                    </w:p>
                    <w:p>
                      <w:pPr>
                        <w:jc w:val="center"/>
                        <w:rPr>
                          <w:rFonts w:hint="eastAsia" w:ascii="华文宋体" w:hAnsi="华文宋体" w:cs="华文宋体"/>
                          <w:sz w:val="24"/>
                          <w:szCs w:val="24"/>
                        </w:rPr>
                      </w:pPr>
                      <w:r>
                        <w:rPr>
                          <w:rFonts w:hint="eastAsia" w:ascii="华文宋体" w:hAnsi="华文宋体" w:cs="华文宋体"/>
                          <w:sz w:val="24"/>
                          <w:szCs w:val="24"/>
                        </w:rPr>
                        <w:t>正反面复印件并加盖公章</w:t>
                      </w:r>
                    </w:p>
                  </w:txbxContent>
                </v:textbox>
              </v:shape>
            </w:pict>
          </mc:Fallback>
        </mc:AlternateContent>
      </w:r>
    </w:p>
    <w:p>
      <w:pPr>
        <w:rPr>
          <w:rFonts w:hint="eastAsia" w:ascii="华文宋体" w:hAnsi="华文宋体" w:eastAsia="华文宋体" w:cs="华文宋体"/>
          <w:b/>
          <w:color w:val="auto"/>
          <w:sz w:val="28"/>
          <w:szCs w:val="28"/>
          <w:highlight w:val="none"/>
        </w:rPr>
      </w:pPr>
    </w:p>
    <w:p>
      <w:pPr>
        <w:rPr>
          <w:rFonts w:hint="eastAsia" w:ascii="华文宋体" w:hAnsi="华文宋体" w:eastAsia="华文宋体" w:cs="华文宋体"/>
          <w:b/>
          <w:color w:val="auto"/>
          <w:sz w:val="28"/>
          <w:szCs w:val="28"/>
          <w:highlight w:val="none"/>
        </w:rPr>
      </w:pPr>
    </w:p>
    <w:p>
      <w:pPr>
        <w:rPr>
          <w:rFonts w:hint="eastAsia" w:ascii="华文宋体" w:hAnsi="华文宋体" w:eastAsia="华文宋体" w:cs="华文宋体"/>
          <w:b/>
          <w:color w:val="auto"/>
          <w:sz w:val="28"/>
          <w:szCs w:val="28"/>
          <w:highlight w:val="none"/>
        </w:rPr>
      </w:pPr>
    </w:p>
    <w:p>
      <w:pPr>
        <w:rPr>
          <w:rFonts w:hint="eastAsia" w:ascii="华文宋体" w:hAnsi="华文宋体" w:eastAsia="华文宋体" w:cs="华文宋体"/>
          <w:b/>
          <w:color w:val="auto"/>
          <w:sz w:val="28"/>
          <w:szCs w:val="28"/>
          <w:highlight w:val="none"/>
        </w:rPr>
      </w:pPr>
    </w:p>
    <w:p>
      <w:pPr>
        <w:rPr>
          <w:rFonts w:hint="eastAsia" w:ascii="华文宋体" w:hAnsi="华文宋体" w:eastAsia="华文宋体" w:cs="华文宋体"/>
          <w:b/>
          <w:color w:val="auto"/>
          <w:sz w:val="28"/>
          <w:szCs w:val="28"/>
          <w:highlight w:val="none"/>
        </w:rPr>
      </w:pPr>
    </w:p>
    <w:p>
      <w:pPr>
        <w:adjustRightInd w:val="0"/>
        <w:snapToGrid w:val="0"/>
        <w:spacing w:line="360" w:lineRule="auto"/>
        <w:ind w:firstLine="2737" w:firstLineChars="1104"/>
        <w:rPr>
          <w:rFonts w:hint="eastAsia" w:ascii="华文宋体" w:hAnsi="华文宋体" w:eastAsia="华文宋体" w:cs="华文宋体"/>
          <w:color w:val="auto"/>
          <w:spacing w:val="4"/>
          <w:sz w:val="24"/>
          <w:highlight w:val="none"/>
        </w:rPr>
      </w:pPr>
    </w:p>
    <w:p>
      <w:pPr>
        <w:adjustRightInd w:val="0"/>
        <w:snapToGrid w:val="0"/>
        <w:spacing w:line="480" w:lineRule="auto"/>
        <w:ind w:firstLine="2737" w:firstLineChars="1104"/>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供应商名称（公章）：</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 xml:space="preserve"> </w:t>
      </w:r>
    </w:p>
    <w:p>
      <w:pPr>
        <w:adjustRightInd w:val="0"/>
        <w:snapToGrid w:val="0"/>
        <w:spacing w:line="480" w:lineRule="auto"/>
        <w:ind w:firstLine="2737" w:firstLineChars="1104"/>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日期：</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年</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月</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日</w:t>
      </w:r>
    </w:p>
    <w:p>
      <w:pPr>
        <w:spacing w:line="240" w:lineRule="exact"/>
        <w:rPr>
          <w:rFonts w:hint="eastAsia" w:ascii="华文宋体" w:hAnsi="华文宋体" w:eastAsia="华文宋体" w:cs="华文宋体"/>
          <w:b/>
          <w:bCs/>
          <w:color w:val="auto"/>
          <w:sz w:val="32"/>
          <w:szCs w:val="32"/>
          <w:highlight w:val="none"/>
        </w:rPr>
      </w:pPr>
      <w:r>
        <w:rPr>
          <w:rFonts w:hint="eastAsia" w:ascii="华文宋体" w:hAnsi="华文宋体" w:eastAsia="华文宋体" w:cs="华文宋体"/>
          <w:b/>
          <w:color w:val="auto"/>
          <w:sz w:val="28"/>
          <w:szCs w:val="28"/>
          <w:highlight w:val="none"/>
        </w:rPr>
        <w:br w:type="page"/>
      </w:r>
    </w:p>
    <w:p>
      <w:pPr>
        <w:spacing w:line="480" w:lineRule="exact"/>
        <w:jc w:val="center"/>
        <w:rPr>
          <w:rFonts w:hint="eastAsia" w:ascii="华文宋体" w:hAnsi="华文宋体" w:eastAsia="华文宋体" w:cs="华文宋体"/>
          <w:b/>
          <w:color w:val="auto"/>
          <w:sz w:val="32"/>
          <w:szCs w:val="32"/>
          <w:highlight w:val="none"/>
        </w:rPr>
      </w:pPr>
      <w:r>
        <w:rPr>
          <w:rFonts w:hint="eastAsia" w:ascii="华文宋体" w:hAnsi="华文宋体" w:eastAsia="华文宋体" w:cs="华文宋体"/>
          <w:b/>
          <w:color w:val="auto"/>
          <w:sz w:val="32"/>
          <w:szCs w:val="32"/>
          <w:highlight w:val="none"/>
        </w:rPr>
        <w:t>法定代表人授权委托书</w:t>
      </w:r>
    </w:p>
    <w:p>
      <w:pPr>
        <w:spacing w:line="360" w:lineRule="auto"/>
        <w:rPr>
          <w:rFonts w:hint="eastAsia" w:ascii="华文宋体" w:hAnsi="华文宋体" w:eastAsia="华文宋体" w:cs="华文宋体"/>
          <w:color w:val="auto"/>
          <w:sz w:val="24"/>
          <w:highlight w:val="none"/>
        </w:rPr>
      </w:pPr>
    </w:p>
    <w:p>
      <w:pPr>
        <w:spacing w:line="480" w:lineRule="exact"/>
        <w:rPr>
          <w:rFonts w:hint="eastAsia" w:ascii="华文宋体" w:hAnsi="华文宋体" w:eastAsia="华文宋体" w:cs="华文宋体"/>
          <w:b/>
          <w:bCs/>
          <w:color w:val="auto"/>
          <w:sz w:val="24"/>
          <w:highlight w:val="none"/>
        </w:rPr>
      </w:pPr>
      <w:r>
        <w:rPr>
          <w:rFonts w:hint="eastAsia" w:ascii="华文宋体" w:hAnsi="华文宋体" w:eastAsia="华文宋体" w:cs="华文宋体"/>
          <w:b/>
          <w:bCs/>
          <w:color w:val="auto"/>
          <w:sz w:val="24"/>
          <w:highlight w:val="none"/>
        </w:rPr>
        <w:t>致</w:t>
      </w:r>
      <w:r>
        <w:rPr>
          <w:rFonts w:hint="eastAsia" w:ascii="华文宋体" w:hAnsi="华文宋体" w:cs="华文宋体"/>
          <w:b/>
          <w:bCs/>
          <w:color w:val="auto"/>
          <w:sz w:val="24"/>
          <w:highlight w:val="none"/>
          <w:lang w:val="en-US" w:eastAsia="zh-CN"/>
        </w:rPr>
        <w:t>广东省</w:t>
      </w:r>
      <w:r>
        <w:rPr>
          <w:rFonts w:hint="eastAsia" w:ascii="华文宋体" w:hAnsi="华文宋体" w:eastAsia="华文宋体" w:cs="华文宋体"/>
          <w:b/>
          <w:bCs/>
          <w:color w:val="auto"/>
          <w:sz w:val="24"/>
          <w:highlight w:val="none"/>
        </w:rPr>
        <w:t>广州市越秀区消防救援大队、广东公采招标有限公司：</w:t>
      </w:r>
    </w:p>
    <w:p>
      <w:pPr>
        <w:pStyle w:val="16"/>
        <w:spacing w:before="72" w:after="72" w:line="480" w:lineRule="exact"/>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本人</w:t>
      </w:r>
      <w:r>
        <w:rPr>
          <w:rFonts w:hint="eastAsia" w:ascii="华文宋体" w:hAnsi="华文宋体" w:eastAsia="华文宋体" w:cs="华文宋体"/>
          <w:color w:val="auto"/>
          <w:sz w:val="24"/>
          <w:highlight w:val="none"/>
          <w:u w:val="single"/>
        </w:rPr>
        <w:t>　　 　</w:t>
      </w:r>
      <w:r>
        <w:rPr>
          <w:rFonts w:hint="eastAsia" w:ascii="华文宋体" w:hAnsi="华文宋体" w:eastAsia="华文宋体" w:cs="华文宋体"/>
          <w:color w:val="auto"/>
          <w:sz w:val="24"/>
          <w:highlight w:val="none"/>
        </w:rPr>
        <w:t>（姓名）系</w:t>
      </w:r>
      <w:r>
        <w:rPr>
          <w:rFonts w:hint="eastAsia" w:ascii="华文宋体" w:hAnsi="华文宋体" w:eastAsia="华文宋体" w:cs="华文宋体"/>
          <w:color w:val="auto"/>
          <w:sz w:val="24"/>
          <w:highlight w:val="none"/>
          <w:u w:val="single"/>
        </w:rPr>
        <w:t>　　  　　　　</w:t>
      </w:r>
      <w:r>
        <w:rPr>
          <w:rFonts w:hint="eastAsia" w:ascii="华文宋体" w:hAnsi="华文宋体" w:eastAsia="华文宋体" w:cs="华文宋体"/>
          <w:color w:val="auto"/>
          <w:sz w:val="24"/>
          <w:highlight w:val="none"/>
        </w:rPr>
        <w:t>（供应商名称）的法定代表人，现授权委托</w:t>
      </w:r>
      <w:r>
        <w:rPr>
          <w:rFonts w:hint="eastAsia" w:ascii="华文宋体" w:hAnsi="华文宋体" w:eastAsia="华文宋体" w:cs="华文宋体"/>
          <w:color w:val="auto"/>
          <w:sz w:val="24"/>
          <w:highlight w:val="none"/>
          <w:u w:val="single"/>
        </w:rPr>
        <w:t>　　　  　　　　　   　　　</w:t>
      </w:r>
      <w:r>
        <w:rPr>
          <w:rFonts w:hint="eastAsia" w:ascii="华文宋体" w:hAnsi="华文宋体" w:eastAsia="华文宋体" w:cs="华文宋体"/>
          <w:color w:val="auto"/>
          <w:sz w:val="24"/>
          <w:highlight w:val="none"/>
        </w:rPr>
        <w:t>（被授权人姓名、职务）为我公司授权代表，以本公司的名义参加</w:t>
      </w:r>
      <w:r>
        <w:rPr>
          <w:rFonts w:hint="eastAsia" w:ascii="华文宋体" w:hAnsi="华文宋体" w:eastAsia="华文宋体" w:cs="华文宋体"/>
          <w:color w:val="auto"/>
          <w:sz w:val="24"/>
          <w:highlight w:val="none"/>
          <w:u w:val="single"/>
          <w:lang w:val="zh-CN"/>
        </w:rPr>
        <w:t>（项目名称、项目编号）</w:t>
      </w:r>
      <w:r>
        <w:rPr>
          <w:rFonts w:hint="eastAsia" w:ascii="华文宋体" w:hAnsi="华文宋体" w:eastAsia="华文宋体" w:cs="华文宋体"/>
          <w:color w:val="auto"/>
          <w:sz w:val="24"/>
          <w:highlight w:val="none"/>
        </w:rPr>
        <w:t>的竞争性磋商响应活动以及处理与之有关的一切事务。</w:t>
      </w:r>
    </w:p>
    <w:p>
      <w:pPr>
        <w:pStyle w:val="16"/>
        <w:spacing w:before="72" w:after="72" w:line="480" w:lineRule="exact"/>
        <w:ind w:firstLine="42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本授权委托书自法定代表人签字之日起生效，被授权人</w:t>
      </w:r>
      <w:r>
        <w:rPr>
          <w:rFonts w:hint="eastAsia" w:ascii="华文宋体" w:hAnsi="华文宋体" w:eastAsia="华文宋体" w:cs="华文宋体"/>
          <w:color w:val="auto"/>
          <w:sz w:val="24"/>
          <w:highlight w:val="none"/>
          <w:u w:val="single"/>
        </w:rPr>
        <w:t>（供应商授权代表）</w:t>
      </w:r>
      <w:r>
        <w:rPr>
          <w:rFonts w:hint="eastAsia" w:ascii="华文宋体" w:hAnsi="华文宋体" w:eastAsia="华文宋体" w:cs="华文宋体"/>
          <w:color w:val="auto"/>
          <w:sz w:val="24"/>
          <w:highlight w:val="none"/>
        </w:rPr>
        <w:t>无转委托权限。</w:t>
      </w:r>
    </w:p>
    <w:p>
      <w:pP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color w:val="auto"/>
          <w:sz w:val="21"/>
          <w:szCs w:val="21"/>
          <w:highlight w:val="none"/>
        </w:rPr>
        <w:t>备注：</w:t>
      </w:r>
    </w:p>
    <w:p>
      <w:pPr>
        <w:numPr>
          <w:ilvl w:val="0"/>
          <w:numId w:val="146"/>
        </w:numP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color w:val="auto"/>
          <w:sz w:val="21"/>
          <w:szCs w:val="21"/>
          <w:highlight w:val="none"/>
        </w:rPr>
        <w:t>法定代表人为企业事业单位、国家机关、社会团体的主要行政负责人；</w:t>
      </w:r>
    </w:p>
    <w:p>
      <w:pPr>
        <w:numPr>
          <w:ilvl w:val="0"/>
          <w:numId w:val="146"/>
        </w:numP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color w:val="auto"/>
          <w:sz w:val="21"/>
          <w:szCs w:val="21"/>
          <w:highlight w:val="none"/>
        </w:rPr>
        <w:t>内容必须填写真实、清楚、涂改无效，不得转让、买卖；</w:t>
      </w:r>
    </w:p>
    <w:p>
      <w:pPr>
        <w:numPr>
          <w:ilvl w:val="0"/>
          <w:numId w:val="146"/>
        </w:numP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color w:val="auto"/>
          <w:sz w:val="21"/>
          <w:szCs w:val="21"/>
          <w:highlight w:val="none"/>
        </w:rPr>
        <w:t>将此证明书提交广东公采招标有限公司作为合同附件；</w:t>
      </w:r>
    </w:p>
    <w:p>
      <w:pPr>
        <w:numPr>
          <w:ilvl w:val="0"/>
          <w:numId w:val="146"/>
        </w:numP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color w:val="auto"/>
          <w:sz w:val="21"/>
          <w:szCs w:val="21"/>
          <w:highlight w:val="none"/>
        </w:rPr>
        <w:t>授权权限：全权代表本公司参与上述采购项目的竞争性磋商响应，负责提供与签署确认一切文书资料，以及向贵方递交的任何补充承诺；</w:t>
      </w:r>
    </w:p>
    <w:p>
      <w:pPr>
        <w:numPr>
          <w:ilvl w:val="0"/>
          <w:numId w:val="146"/>
        </w:numP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color w:val="auto"/>
          <w:sz w:val="21"/>
          <w:szCs w:val="21"/>
          <w:highlight w:val="none"/>
        </w:rPr>
        <w:t>有效期限：与本公司竞争性磋商响应文件成为成交供应商注的竞争性磋商响应有效期相同，自本单位盖公章之日起生效；</w:t>
      </w:r>
    </w:p>
    <w:p>
      <w:pPr>
        <w:numPr>
          <w:ilvl w:val="0"/>
          <w:numId w:val="146"/>
        </w:numP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color w:val="auto"/>
          <w:sz w:val="21"/>
          <w:szCs w:val="21"/>
          <w:highlight w:val="none"/>
        </w:rPr>
        <w:t>竞争性磋商响应签字代表为法定代表人，则本表不适用。</w:t>
      </w:r>
    </w:p>
    <w:p>
      <w:pPr>
        <w:adjustRightInd w:val="0"/>
        <w:snapToGrid w:val="0"/>
        <w:spacing w:line="300" w:lineRule="auto"/>
        <w:rPr>
          <w:rFonts w:hint="eastAsia" w:ascii="华文宋体" w:hAnsi="华文宋体" w:eastAsia="华文宋体" w:cs="华文宋体"/>
          <w:color w:val="auto"/>
          <w:sz w:val="24"/>
          <w:highlight w:val="none"/>
        </w:rPr>
      </w:pPr>
      <w:r>
        <w:rPr>
          <w:rFonts w:hint="eastAsia" w:ascii="华文宋体" w:hAnsi="华文宋体" w:eastAsia="华文宋体" w:cs="华文宋体"/>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111760</wp:posOffset>
                </wp:positionH>
                <wp:positionV relativeFrom="paragraph">
                  <wp:posOffset>176530</wp:posOffset>
                </wp:positionV>
                <wp:extent cx="5744845" cy="1800225"/>
                <wp:effectExtent l="4445" t="4445" r="22860" b="5080"/>
                <wp:wrapNone/>
                <wp:docPr id="7" name="流程图: 可选过程 7"/>
                <wp:cNvGraphicFramePr/>
                <a:graphic xmlns:a="http://schemas.openxmlformats.org/drawingml/2006/main">
                  <a:graphicData uri="http://schemas.microsoft.com/office/word/2010/wordprocessingShape">
                    <wps:wsp>
                      <wps:cNvSpPr/>
                      <wps:spPr>
                        <a:xfrm>
                          <a:off x="0" y="0"/>
                          <a:ext cx="5744845" cy="19989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ascii="华文宋体" w:hAnsi="华文宋体" w:cs="华文宋体"/>
                                <w:sz w:val="24"/>
                                <w:szCs w:val="24"/>
                              </w:rPr>
                            </w:pPr>
                            <w:r>
                              <w:rPr>
                                <w:rFonts w:hint="eastAsia" w:ascii="华文宋体" w:hAnsi="华文宋体" w:cs="华文宋体"/>
                                <w:sz w:val="24"/>
                                <w:szCs w:val="24"/>
                              </w:rPr>
                              <w:t>授权代表第二代身份证</w:t>
                            </w:r>
                          </w:p>
                          <w:p>
                            <w:pPr>
                              <w:jc w:val="center"/>
                              <w:rPr>
                                <w:rFonts w:hint="eastAsia" w:eastAsia="仿宋" w:cs="仿宋"/>
                                <w:sz w:val="28"/>
                                <w:szCs w:val="28"/>
                              </w:rPr>
                            </w:pPr>
                            <w:r>
                              <w:rPr>
                                <w:rFonts w:hint="eastAsia" w:ascii="华文宋体" w:hAnsi="华文宋体" w:cs="华文宋体"/>
                                <w:sz w:val="24"/>
                                <w:szCs w:val="24"/>
                              </w:rPr>
                              <w:t>正反面复印件并加盖公章</w:t>
                            </w:r>
                          </w:p>
                        </w:txbxContent>
                      </wps:txbx>
                      <wps:bodyPr wrap="square" upright="1"/>
                    </wps:wsp>
                  </a:graphicData>
                </a:graphic>
              </wp:anchor>
            </w:drawing>
          </mc:Choice>
          <mc:Fallback>
            <w:pict>
              <v:shape id="_x0000_s1026" o:spid="_x0000_s1026" o:spt="176" type="#_x0000_t176" style="position:absolute;left:0pt;margin-left:8.8pt;margin-top:13.9pt;height:141.75pt;width:452.35pt;z-index:251660288;mso-width-relative:page;mso-height-relative:page;" fillcolor="#FFFFFF" filled="t" stroked="t" coordsize="21600,21600" o:gfxdata="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Gy53TWAAAACQEAAA8AAAAAAAAAAQAgAAAAIgAAAGRycy9kb3du&#10;cmV2LnhtbFBLAQIUABQAAAAIAIdO4kBMPHxsOgIAAGwEAAAOAAAAAAAAAAEAIAAAACUBAABkcnMv&#10;ZTJvRG9jLnhtbFBLBQYAAAAABgAGAFkBAADR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ascii="华文宋体" w:hAnsi="华文宋体" w:cs="华文宋体"/>
                          <w:sz w:val="24"/>
                          <w:szCs w:val="24"/>
                        </w:rPr>
                      </w:pPr>
                      <w:r>
                        <w:rPr>
                          <w:rFonts w:hint="eastAsia" w:ascii="华文宋体" w:hAnsi="华文宋体" w:cs="华文宋体"/>
                          <w:sz w:val="24"/>
                          <w:szCs w:val="24"/>
                        </w:rPr>
                        <w:t>授权代表第二代身份证</w:t>
                      </w:r>
                    </w:p>
                    <w:p>
                      <w:pPr>
                        <w:jc w:val="center"/>
                        <w:rPr>
                          <w:rFonts w:hint="eastAsia" w:eastAsia="仿宋" w:cs="仿宋"/>
                          <w:sz w:val="28"/>
                          <w:szCs w:val="28"/>
                        </w:rPr>
                      </w:pPr>
                      <w:r>
                        <w:rPr>
                          <w:rFonts w:hint="eastAsia" w:ascii="华文宋体" w:hAnsi="华文宋体" w:cs="华文宋体"/>
                          <w:sz w:val="24"/>
                          <w:szCs w:val="24"/>
                        </w:rPr>
                        <w:t>正反面复印件并加盖公章</w:t>
                      </w:r>
                    </w:p>
                  </w:txbxContent>
                </v:textbox>
              </v:shape>
            </w:pict>
          </mc:Fallback>
        </mc:AlternateContent>
      </w:r>
    </w:p>
    <w:p>
      <w:pPr>
        <w:adjustRightInd w:val="0"/>
        <w:snapToGrid w:val="0"/>
        <w:spacing w:line="300" w:lineRule="auto"/>
        <w:rPr>
          <w:rFonts w:hint="eastAsia" w:ascii="华文宋体" w:hAnsi="华文宋体" w:eastAsia="华文宋体" w:cs="华文宋体"/>
          <w:color w:val="auto"/>
          <w:sz w:val="24"/>
          <w:highlight w:val="none"/>
        </w:rPr>
      </w:pPr>
    </w:p>
    <w:p>
      <w:pPr>
        <w:jc w:val="center"/>
        <w:rPr>
          <w:rFonts w:hint="eastAsia" w:ascii="华文宋体" w:hAnsi="华文宋体" w:eastAsia="华文宋体" w:cs="华文宋体"/>
          <w:color w:val="auto"/>
          <w:sz w:val="24"/>
          <w:highlight w:val="none"/>
        </w:rPr>
      </w:pPr>
    </w:p>
    <w:p>
      <w:pPr>
        <w:jc w:val="center"/>
        <w:rPr>
          <w:rFonts w:hint="eastAsia" w:ascii="华文宋体" w:hAnsi="华文宋体" w:eastAsia="华文宋体" w:cs="华文宋体"/>
          <w:color w:val="auto"/>
          <w:sz w:val="24"/>
          <w:highlight w:val="none"/>
        </w:rPr>
      </w:pPr>
    </w:p>
    <w:p>
      <w:pPr>
        <w:jc w:val="center"/>
        <w:rPr>
          <w:rFonts w:hint="eastAsia" w:ascii="华文宋体" w:hAnsi="华文宋体" w:eastAsia="华文宋体" w:cs="华文宋体"/>
          <w:color w:val="auto"/>
          <w:sz w:val="24"/>
          <w:highlight w:val="none"/>
        </w:rPr>
      </w:pPr>
    </w:p>
    <w:p>
      <w:pPr>
        <w:jc w:val="center"/>
        <w:rPr>
          <w:rFonts w:hint="eastAsia" w:ascii="华文宋体" w:hAnsi="华文宋体" w:eastAsia="华文宋体" w:cs="华文宋体"/>
          <w:color w:val="auto"/>
          <w:sz w:val="24"/>
          <w:highlight w:val="none"/>
        </w:rPr>
      </w:pPr>
    </w:p>
    <w:p>
      <w:pPr>
        <w:adjustRightInd w:val="0"/>
        <w:snapToGrid w:val="0"/>
        <w:spacing w:line="240" w:lineRule="exact"/>
        <w:ind w:firstLine="2737" w:firstLineChars="1104"/>
        <w:rPr>
          <w:rFonts w:hint="eastAsia" w:ascii="华文宋体" w:hAnsi="华文宋体" w:eastAsia="华文宋体" w:cs="华文宋体"/>
          <w:color w:val="auto"/>
          <w:spacing w:val="4"/>
          <w:sz w:val="24"/>
          <w:highlight w:val="none"/>
        </w:rPr>
      </w:pPr>
    </w:p>
    <w:p>
      <w:pPr>
        <w:adjustRightInd w:val="0"/>
        <w:snapToGrid w:val="0"/>
        <w:spacing w:line="540" w:lineRule="exact"/>
        <w:ind w:firstLine="2737" w:firstLineChars="1104"/>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供应商名称（公章）：</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 xml:space="preserve"> </w:t>
      </w:r>
    </w:p>
    <w:p>
      <w:pPr>
        <w:adjustRightInd w:val="0"/>
        <w:snapToGrid w:val="0"/>
        <w:spacing w:line="540" w:lineRule="exact"/>
        <w:ind w:firstLine="2737" w:firstLineChars="1104"/>
        <w:rPr>
          <w:rFonts w:hint="eastAsia" w:ascii="华文宋体" w:hAnsi="华文宋体" w:eastAsia="华文宋体" w:cs="华文宋体"/>
          <w:color w:val="auto"/>
          <w:spacing w:val="4"/>
          <w:sz w:val="24"/>
          <w:highlight w:val="none"/>
          <w:u w:val="single"/>
        </w:rPr>
      </w:pPr>
      <w:r>
        <w:rPr>
          <w:rFonts w:hint="eastAsia" w:ascii="华文宋体" w:hAnsi="华文宋体" w:eastAsia="华文宋体" w:cs="华文宋体"/>
          <w:color w:val="auto"/>
          <w:spacing w:val="4"/>
          <w:sz w:val="24"/>
          <w:highlight w:val="none"/>
        </w:rPr>
        <w:t>法定代表人（签名或盖章）：</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u w:val="single"/>
        </w:rPr>
        <w:tab/>
      </w:r>
      <w:r>
        <w:rPr>
          <w:rFonts w:hint="eastAsia" w:ascii="华文宋体" w:hAnsi="华文宋体" w:eastAsia="华文宋体" w:cs="华文宋体"/>
          <w:color w:val="auto"/>
          <w:spacing w:val="4"/>
          <w:sz w:val="24"/>
          <w:highlight w:val="none"/>
          <w:u w:val="single"/>
        </w:rPr>
        <w:tab/>
      </w:r>
      <w:r>
        <w:rPr>
          <w:rFonts w:hint="eastAsia" w:ascii="华文宋体" w:hAnsi="华文宋体" w:eastAsia="华文宋体" w:cs="华文宋体"/>
          <w:color w:val="auto"/>
          <w:spacing w:val="4"/>
          <w:sz w:val="24"/>
          <w:highlight w:val="none"/>
          <w:u w:val="single"/>
        </w:rPr>
        <w:tab/>
      </w:r>
      <w:r>
        <w:rPr>
          <w:rFonts w:hint="eastAsia" w:ascii="华文宋体" w:hAnsi="华文宋体" w:eastAsia="华文宋体" w:cs="华文宋体"/>
          <w:color w:val="auto"/>
          <w:spacing w:val="4"/>
          <w:sz w:val="24"/>
          <w:highlight w:val="none"/>
          <w:u w:val="single"/>
        </w:rPr>
        <w:tab/>
      </w:r>
      <w:r>
        <w:rPr>
          <w:rFonts w:hint="eastAsia" w:ascii="华文宋体" w:hAnsi="华文宋体" w:eastAsia="华文宋体" w:cs="华文宋体"/>
          <w:color w:val="auto"/>
          <w:spacing w:val="4"/>
          <w:sz w:val="24"/>
          <w:highlight w:val="none"/>
          <w:u w:val="single"/>
        </w:rPr>
        <w:tab/>
      </w:r>
      <w:r>
        <w:rPr>
          <w:rFonts w:hint="eastAsia" w:ascii="华文宋体" w:hAnsi="华文宋体" w:eastAsia="华文宋体" w:cs="华文宋体"/>
          <w:color w:val="auto"/>
          <w:spacing w:val="4"/>
          <w:sz w:val="24"/>
          <w:highlight w:val="none"/>
          <w:u w:val="single"/>
        </w:rPr>
        <w:tab/>
      </w:r>
      <w:r>
        <w:rPr>
          <w:rFonts w:hint="eastAsia" w:ascii="华文宋体" w:hAnsi="华文宋体" w:eastAsia="华文宋体" w:cs="华文宋体"/>
          <w:color w:val="auto"/>
          <w:spacing w:val="4"/>
          <w:sz w:val="24"/>
          <w:highlight w:val="none"/>
          <w:u w:val="single"/>
        </w:rPr>
        <w:tab/>
      </w:r>
    </w:p>
    <w:p>
      <w:pPr>
        <w:adjustRightInd w:val="0"/>
        <w:snapToGrid w:val="0"/>
        <w:spacing w:line="540" w:lineRule="exact"/>
        <w:ind w:firstLine="2737" w:firstLineChars="1104"/>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授权代表（签名）：</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 xml:space="preserve">     </w:t>
      </w:r>
    </w:p>
    <w:p>
      <w:pPr>
        <w:spacing w:line="540" w:lineRule="exact"/>
        <w:ind w:firstLine="2737" w:firstLineChars="1104"/>
        <w:jc w:val="left"/>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日期：</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年</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月</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日</w:t>
      </w:r>
    </w:p>
    <w:p>
      <w:pPr>
        <w:adjustRightInd w:val="0"/>
        <w:snapToGrid w:val="0"/>
        <w:spacing w:line="480" w:lineRule="auto"/>
        <w:rPr>
          <w:rFonts w:hint="eastAsia" w:ascii="华文宋体" w:hAnsi="华文宋体" w:eastAsia="华文宋体" w:cs="华文宋体"/>
          <w:color w:val="auto"/>
          <w:spacing w:val="4"/>
          <w:sz w:val="24"/>
          <w:highlight w:val="none"/>
        </w:rPr>
      </w:pPr>
    </w:p>
    <w:p>
      <w:pPr>
        <w:rPr>
          <w:rFonts w:hint="eastAsia" w:ascii="华文宋体" w:hAnsi="华文宋体" w:eastAsia="华文宋体" w:cs="华文宋体"/>
          <w:bCs/>
          <w:color w:val="auto"/>
          <w:szCs w:val="21"/>
          <w:highlight w:val="none"/>
        </w:rPr>
      </w:pPr>
    </w:p>
    <w:p>
      <w:pPr>
        <w:jc w:val="center"/>
        <w:rPr>
          <w:rFonts w:hint="eastAsia" w:ascii="华文宋体" w:hAnsi="华文宋体" w:eastAsia="华文宋体" w:cs="华文宋体"/>
          <w:b/>
          <w:color w:val="auto"/>
          <w:sz w:val="32"/>
          <w:szCs w:val="32"/>
          <w:highlight w:val="none"/>
        </w:rPr>
      </w:pPr>
      <w:r>
        <w:rPr>
          <w:rFonts w:hint="eastAsia" w:ascii="华文宋体" w:hAnsi="华文宋体" w:eastAsia="华文宋体" w:cs="华文宋体"/>
          <w:b/>
          <w:color w:val="auto"/>
          <w:sz w:val="32"/>
          <w:szCs w:val="32"/>
          <w:highlight w:val="none"/>
        </w:rPr>
        <w:t>实质性响应条款一览表</w:t>
      </w:r>
    </w:p>
    <w:p>
      <w:pPr>
        <w:rPr>
          <w:rFonts w:hint="eastAsia" w:ascii="华文宋体" w:hAnsi="华文宋体" w:eastAsia="华文宋体" w:cs="华文宋体"/>
          <w:b/>
          <w:color w:val="auto"/>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bCs/>
          <w:color w:val="auto"/>
          <w:sz w:val="24"/>
          <w:szCs w:val="24"/>
          <w:highlight w:val="none"/>
          <w:u w:val="single"/>
        </w:rPr>
      </w:pPr>
      <w:r>
        <w:rPr>
          <w:rFonts w:hint="eastAsia" w:ascii="华文宋体" w:hAnsi="华文宋体" w:eastAsia="华文宋体" w:cs="华文宋体"/>
          <w:bCs/>
          <w:color w:val="auto"/>
          <w:sz w:val="24"/>
          <w:szCs w:val="24"/>
          <w:highlight w:val="none"/>
        </w:rPr>
        <w:t>项目名称：</w:t>
      </w:r>
      <w:r>
        <w:rPr>
          <w:rFonts w:hint="eastAsia" w:ascii="华文宋体" w:hAnsi="华文宋体" w:eastAsia="华文宋体" w:cs="华文宋体"/>
          <w:bCs/>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项目编号：</w:t>
      </w:r>
      <w:r>
        <w:rPr>
          <w:rFonts w:hint="eastAsia" w:ascii="华文宋体" w:hAnsi="华文宋体" w:eastAsia="华文宋体" w:cs="华文宋体"/>
          <w:bCs/>
          <w:color w:val="auto"/>
          <w:sz w:val="24"/>
          <w:szCs w:val="24"/>
          <w:highlight w:val="none"/>
          <w:u w:val="single"/>
        </w:rPr>
        <w:t xml:space="preserve">                            </w:t>
      </w:r>
    </w:p>
    <w:tbl>
      <w:tblPr>
        <w:tblStyle w:val="30"/>
        <w:tblW w:w="9089"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500"/>
        <w:gridCol w:w="4488"/>
        <w:gridCol w:w="1231"/>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blHeader/>
        </w:trPr>
        <w:tc>
          <w:tcPr>
            <w:tcW w:w="607" w:type="dxa"/>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序号</w:t>
            </w:r>
          </w:p>
        </w:tc>
        <w:tc>
          <w:tcPr>
            <w:tcW w:w="1500" w:type="dxa"/>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竞争性磋商文件条目号</w:t>
            </w:r>
          </w:p>
        </w:tc>
        <w:tc>
          <w:tcPr>
            <w:tcW w:w="4488" w:type="dxa"/>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竞争性磋商文件条款</w:t>
            </w:r>
          </w:p>
        </w:tc>
        <w:tc>
          <w:tcPr>
            <w:tcW w:w="1231" w:type="dxa"/>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响应情况</w:t>
            </w:r>
          </w:p>
        </w:tc>
        <w:tc>
          <w:tcPr>
            <w:tcW w:w="1263" w:type="dxa"/>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07" w:type="dxa"/>
            <w:noWrap w:val="0"/>
            <w:vAlign w:val="center"/>
          </w:tcPr>
          <w:p>
            <w:pPr>
              <w:keepNext w:val="0"/>
              <w:keepLines w:val="0"/>
              <w:pageBreakBefore w:val="0"/>
              <w:numPr>
                <w:ilvl w:val="0"/>
                <w:numId w:val="147"/>
              </w:numPr>
              <w:kinsoku/>
              <w:wordWrap/>
              <w:overflowPunct/>
              <w:topLinePunct w:val="0"/>
              <w:autoSpaceDE/>
              <w:autoSpaceDN/>
              <w:bidi w:val="0"/>
              <w:adjustRightInd/>
              <w:snapToGrid/>
              <w:spacing w:line="400" w:lineRule="exact"/>
              <w:jc w:val="center"/>
              <w:textAlignment w:val="auto"/>
              <w:rPr>
                <w:rFonts w:hint="eastAsia" w:ascii="华文宋体" w:hAnsi="华文宋体" w:eastAsia="华文宋体" w:cs="华文宋体"/>
                <w:color w:val="auto"/>
                <w:sz w:val="23"/>
                <w:szCs w:val="23"/>
                <w:highlight w:val="none"/>
              </w:rPr>
            </w:pPr>
          </w:p>
        </w:tc>
        <w:tc>
          <w:tcPr>
            <w:tcW w:w="1500"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华文宋体" w:hAnsi="华文宋体" w:eastAsia="华文宋体" w:cs="华文宋体"/>
                <w:color w:val="auto"/>
                <w:sz w:val="23"/>
                <w:szCs w:val="23"/>
                <w:highlight w:val="none"/>
              </w:rPr>
            </w:pPr>
          </w:p>
        </w:tc>
        <w:tc>
          <w:tcPr>
            <w:tcW w:w="4488" w:type="dxa"/>
            <w:noWrap w:val="0"/>
            <w:vAlign w:val="top"/>
          </w:tcPr>
          <w:p>
            <w:pPr>
              <w:keepNext w:val="0"/>
              <w:keepLines w:val="0"/>
              <w:pageBreakBefore w:val="0"/>
              <w:widowControl/>
              <w:tabs>
                <w:tab w:val="left" w:pos="0"/>
              </w:tabs>
              <w:kinsoku/>
              <w:wordWrap/>
              <w:overflowPunct/>
              <w:topLinePunct w:val="0"/>
              <w:autoSpaceDE/>
              <w:autoSpaceDN/>
              <w:bidi w:val="0"/>
              <w:adjustRightInd/>
              <w:snapToGrid/>
              <w:spacing w:line="400" w:lineRule="exact"/>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kern w:val="0"/>
                <w:sz w:val="23"/>
                <w:szCs w:val="23"/>
                <w:highlight w:val="none"/>
              </w:rPr>
              <w:t>★响应供应商承诺按照《交通运输部关于修改&lt;机动车维修管理规定&gt;的决定》（交通运输部令2019年第20号）、《交通运输部办公厅关于开展汽车维修电子健康档案系统建设工作的通知》（交办运〔2017〕69号）等相关规定，配合行业主管部门严格执行汽车维修电子健康档案和机动车维修竣工出厂合格证制度。（响应供应商须在响应文件中提供承诺函）</w:t>
            </w:r>
          </w:p>
        </w:tc>
        <w:tc>
          <w:tcPr>
            <w:tcW w:w="1231"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华文宋体" w:hAnsi="华文宋体" w:eastAsia="华文宋体" w:cs="华文宋体"/>
                <w:color w:val="auto"/>
                <w:sz w:val="23"/>
                <w:szCs w:val="23"/>
                <w:highlight w:val="none"/>
              </w:rPr>
            </w:pPr>
          </w:p>
        </w:tc>
        <w:tc>
          <w:tcPr>
            <w:tcW w:w="1263"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7" w:type="dxa"/>
            <w:noWrap w:val="0"/>
            <w:vAlign w:val="center"/>
          </w:tcPr>
          <w:p>
            <w:pPr>
              <w:keepNext w:val="0"/>
              <w:keepLines w:val="0"/>
              <w:pageBreakBefore w:val="0"/>
              <w:numPr>
                <w:ilvl w:val="0"/>
                <w:numId w:val="147"/>
              </w:numPr>
              <w:kinsoku/>
              <w:wordWrap/>
              <w:overflowPunct/>
              <w:topLinePunct w:val="0"/>
              <w:autoSpaceDE/>
              <w:autoSpaceDN/>
              <w:bidi w:val="0"/>
              <w:adjustRightInd/>
              <w:snapToGrid/>
              <w:spacing w:line="400" w:lineRule="exact"/>
              <w:jc w:val="center"/>
              <w:textAlignment w:val="auto"/>
              <w:rPr>
                <w:rFonts w:hint="eastAsia" w:ascii="华文宋体" w:hAnsi="华文宋体" w:eastAsia="华文宋体" w:cs="华文宋体"/>
                <w:color w:val="auto"/>
                <w:sz w:val="23"/>
                <w:szCs w:val="23"/>
                <w:highlight w:val="none"/>
              </w:rPr>
            </w:pPr>
          </w:p>
        </w:tc>
        <w:tc>
          <w:tcPr>
            <w:tcW w:w="1500"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华文宋体" w:hAnsi="华文宋体" w:eastAsia="华文宋体" w:cs="华文宋体"/>
                <w:color w:val="auto"/>
                <w:sz w:val="23"/>
                <w:szCs w:val="23"/>
                <w:highlight w:val="none"/>
              </w:rPr>
            </w:pPr>
          </w:p>
        </w:tc>
        <w:tc>
          <w:tcPr>
            <w:tcW w:w="4488" w:type="dxa"/>
            <w:noWrap w:val="0"/>
            <w:vAlign w:val="top"/>
          </w:tcPr>
          <w:p>
            <w:pPr>
              <w:keepNext w:val="0"/>
              <w:keepLines w:val="0"/>
              <w:pageBreakBefore w:val="0"/>
              <w:tabs>
                <w:tab w:val="left" w:pos="0"/>
              </w:tabs>
              <w:kinsoku/>
              <w:wordWrap/>
              <w:overflowPunct/>
              <w:topLinePunct w:val="0"/>
              <w:autoSpaceDE/>
              <w:autoSpaceDN/>
              <w:bidi w:val="0"/>
              <w:adjustRightInd/>
              <w:snapToGrid/>
              <w:spacing w:line="400" w:lineRule="exac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kern w:val="0"/>
                <w:sz w:val="23"/>
                <w:szCs w:val="23"/>
                <w:highlight w:val="none"/>
              </w:rPr>
              <w:t>★响应供应商承诺对采购人车辆实行应急救援服务、上门维修服务和24小时服务；当采购人车辆在营区内发生故障，响应供应商应在采购人提出维修需求后1小时提供上门维修服务；在广州市行政区域，采购人车辆发生故障需急修的，响应供应商应及时派员抢修，2小时内到达，并免费提供拖车救援服务；当采购人执行重大任务用车时，响应供应商应派出维修人员伴随保障。响应供应商应当建立</w:t>
            </w:r>
            <w:r>
              <w:rPr>
                <w:rFonts w:hint="eastAsia" w:ascii="华文宋体" w:hAnsi="华文宋体" w:eastAsia="华文宋体" w:cs="华文宋体"/>
                <w:color w:val="auto"/>
                <w:kern w:val="0"/>
                <w:sz w:val="23"/>
                <w:szCs w:val="23"/>
                <w:highlight w:val="none"/>
                <w:lang w:eastAsia="zh-CN"/>
              </w:rPr>
              <w:t>车辆</w:t>
            </w:r>
            <w:r>
              <w:rPr>
                <w:rFonts w:hint="eastAsia" w:ascii="华文宋体" w:hAnsi="华文宋体" w:eastAsia="华文宋体" w:cs="华文宋体"/>
                <w:color w:val="auto"/>
                <w:kern w:val="0"/>
                <w:sz w:val="23"/>
                <w:szCs w:val="23"/>
                <w:highlight w:val="none"/>
              </w:rPr>
              <w:t>维修应急保障组，制定应急保障方案。采购人提供应急保障需求时。响应供应商应急保障组必须立即出动，能够完成</w:t>
            </w:r>
            <w:r>
              <w:rPr>
                <w:rFonts w:hint="eastAsia" w:ascii="华文宋体" w:hAnsi="华文宋体" w:eastAsia="华文宋体" w:cs="华文宋体"/>
                <w:color w:val="auto"/>
                <w:kern w:val="0"/>
                <w:sz w:val="23"/>
                <w:szCs w:val="23"/>
                <w:highlight w:val="none"/>
                <w:lang w:eastAsia="zh-CN"/>
              </w:rPr>
              <w:t>采购单位</w:t>
            </w:r>
            <w:r>
              <w:rPr>
                <w:rFonts w:hint="eastAsia" w:ascii="华文宋体" w:hAnsi="华文宋体" w:eastAsia="华文宋体" w:cs="华文宋体"/>
                <w:color w:val="auto"/>
                <w:kern w:val="0"/>
                <w:sz w:val="23"/>
                <w:szCs w:val="23"/>
                <w:highlight w:val="none"/>
              </w:rPr>
              <w:t>因战备任务需要紧急维修的任务。（响应供应商须在响应文件中提供承诺函）</w:t>
            </w:r>
          </w:p>
        </w:tc>
        <w:tc>
          <w:tcPr>
            <w:tcW w:w="1231"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华文宋体" w:hAnsi="华文宋体" w:eastAsia="华文宋体" w:cs="华文宋体"/>
                <w:color w:val="auto"/>
                <w:sz w:val="23"/>
                <w:szCs w:val="23"/>
                <w:highlight w:val="none"/>
              </w:rPr>
            </w:pPr>
          </w:p>
        </w:tc>
        <w:tc>
          <w:tcPr>
            <w:tcW w:w="1263" w:type="dxa"/>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华文宋体" w:hAnsi="华文宋体" w:eastAsia="华文宋体" w:cs="华文宋体"/>
                <w:color w:val="auto"/>
                <w:sz w:val="23"/>
                <w:szCs w:val="23"/>
                <w:highlight w:val="none"/>
              </w:rPr>
            </w:pPr>
          </w:p>
        </w:tc>
      </w:tr>
    </w:tbl>
    <w:p>
      <w:pPr>
        <w:rPr>
          <w:rFonts w:hint="eastAsia" w:ascii="华文宋体" w:hAnsi="华文宋体" w:eastAsia="华文宋体" w:cs="华文宋体"/>
          <w:color w:val="auto"/>
          <w:highlight w:val="none"/>
        </w:rPr>
      </w:pPr>
    </w:p>
    <w:p>
      <w:pPr>
        <w:spacing w:line="480" w:lineRule="exact"/>
        <w:rPr>
          <w:rFonts w:hint="eastAsia" w:ascii="华文宋体" w:hAnsi="华文宋体" w:eastAsia="华文宋体" w:cs="华文宋体"/>
          <w:b/>
          <w:bCs/>
          <w:color w:val="auto"/>
          <w:sz w:val="22"/>
          <w:highlight w:val="none"/>
        </w:rPr>
      </w:pPr>
      <w:r>
        <w:rPr>
          <w:rFonts w:hint="eastAsia" w:ascii="华文宋体" w:hAnsi="华文宋体" w:eastAsia="华文宋体" w:cs="华文宋体"/>
          <w:b/>
          <w:bCs/>
          <w:color w:val="auto"/>
          <w:sz w:val="22"/>
          <w:highlight w:val="none"/>
        </w:rPr>
        <w:t>备注：针对</w:t>
      </w:r>
      <w:r>
        <w:rPr>
          <w:rFonts w:hint="eastAsia" w:ascii="华文宋体" w:hAnsi="华文宋体" w:eastAsia="华文宋体" w:cs="华文宋体"/>
          <w:b/>
          <w:bCs/>
          <w:color w:val="auto"/>
          <w:sz w:val="22"/>
          <w:highlight w:val="none"/>
          <w:lang w:bidi="ar"/>
        </w:rPr>
        <w:t>★</w:t>
      </w:r>
      <w:r>
        <w:rPr>
          <w:rFonts w:hint="eastAsia" w:ascii="华文宋体" w:hAnsi="华文宋体" w:eastAsia="华文宋体" w:cs="华文宋体"/>
          <w:b/>
          <w:bCs/>
          <w:color w:val="auto"/>
          <w:kern w:val="0"/>
          <w:sz w:val="22"/>
          <w:highlight w:val="none"/>
        </w:rPr>
        <w:t>指标在“响应情况”一栏</w:t>
      </w:r>
      <w:r>
        <w:rPr>
          <w:rFonts w:hint="eastAsia" w:ascii="华文宋体" w:hAnsi="华文宋体" w:eastAsia="华文宋体" w:cs="华文宋体"/>
          <w:b/>
          <w:bCs/>
          <w:color w:val="auto"/>
          <w:sz w:val="22"/>
          <w:highlight w:val="none"/>
        </w:rPr>
        <w:t>填写“响应”或“偏离”。发生偏离的，须附细节说明。如本项目未明确指定</w:t>
      </w:r>
      <w:r>
        <w:rPr>
          <w:rFonts w:hint="eastAsia" w:ascii="华文宋体" w:hAnsi="华文宋体" w:eastAsia="华文宋体" w:cs="华文宋体"/>
          <w:b/>
          <w:bCs/>
          <w:color w:val="auto"/>
          <w:sz w:val="22"/>
          <w:highlight w:val="none"/>
          <w:lang w:bidi="ar"/>
        </w:rPr>
        <w:t>★</w:t>
      </w:r>
      <w:r>
        <w:rPr>
          <w:rFonts w:hint="eastAsia" w:ascii="华文宋体" w:hAnsi="华文宋体" w:eastAsia="华文宋体" w:cs="华文宋体"/>
          <w:b/>
          <w:bCs/>
          <w:color w:val="auto"/>
          <w:kern w:val="0"/>
          <w:sz w:val="22"/>
          <w:highlight w:val="none"/>
        </w:rPr>
        <w:t>指标，可不提供本表。</w:t>
      </w:r>
    </w:p>
    <w:p>
      <w:pPr>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highlight w:val="none"/>
        </w:rPr>
      </w:pPr>
    </w:p>
    <w:p>
      <w:pPr>
        <w:widowControl/>
        <w:spacing w:line="480" w:lineRule="auto"/>
        <w:ind w:firstLine="504" w:firstLineChars="200"/>
        <w:jc w:val="left"/>
        <w:rPr>
          <w:rFonts w:hint="eastAsia" w:ascii="华文宋体" w:hAnsi="华文宋体" w:eastAsia="华文宋体" w:cs="华文宋体"/>
          <w:color w:val="auto"/>
          <w:spacing w:val="6"/>
          <w:sz w:val="24"/>
          <w:highlight w:val="none"/>
        </w:rPr>
      </w:pPr>
      <w:r>
        <w:rPr>
          <w:rFonts w:hint="eastAsia" w:ascii="华文宋体" w:hAnsi="华文宋体" w:eastAsia="华文宋体" w:cs="华文宋体"/>
          <w:color w:val="auto"/>
          <w:spacing w:val="6"/>
          <w:sz w:val="24"/>
          <w:highlight w:val="none"/>
          <w:lang w:bidi="ar"/>
        </w:rPr>
        <w:t xml:space="preserve"> </w:t>
      </w:r>
    </w:p>
    <w:p>
      <w:pPr>
        <w:adjustRightInd w:val="0"/>
        <w:snapToGrid w:val="0"/>
        <w:spacing w:line="480" w:lineRule="auto"/>
        <w:ind w:firstLine="3578" w:firstLineChars="1443"/>
        <w:rPr>
          <w:rFonts w:hint="eastAsia" w:ascii="华文宋体" w:hAnsi="华文宋体" w:eastAsia="华文宋体" w:cs="华文宋体"/>
          <w:color w:val="auto"/>
          <w:sz w:val="24"/>
          <w:highlight w:val="none"/>
          <w:u w:val="single"/>
        </w:rPr>
      </w:pPr>
      <w:r>
        <w:rPr>
          <w:rFonts w:hint="eastAsia" w:ascii="华文宋体" w:hAnsi="华文宋体" w:eastAsia="华文宋体" w:cs="华文宋体"/>
          <w:color w:val="auto"/>
          <w:spacing w:val="4"/>
          <w:sz w:val="24"/>
          <w:highlight w:val="none"/>
        </w:rPr>
        <w:t>供应商名称（公章）：</w:t>
      </w:r>
      <w:r>
        <w:rPr>
          <w:rFonts w:hint="eastAsia" w:ascii="华文宋体" w:hAnsi="华文宋体" w:eastAsia="华文宋体" w:cs="华文宋体"/>
          <w:color w:val="auto"/>
          <w:spacing w:val="4"/>
          <w:sz w:val="24"/>
          <w:highlight w:val="none"/>
          <w:u w:val="single"/>
        </w:rPr>
        <w:t xml:space="preserve">                          </w:t>
      </w:r>
    </w:p>
    <w:p>
      <w:pPr>
        <w:adjustRightInd w:val="0"/>
        <w:snapToGrid w:val="0"/>
        <w:spacing w:line="480" w:lineRule="auto"/>
        <w:ind w:firstLine="3578" w:firstLineChars="1443"/>
        <w:rPr>
          <w:rFonts w:hint="eastAsia" w:ascii="华文宋体" w:hAnsi="华文宋体" w:eastAsia="华文宋体" w:cs="华文宋体"/>
          <w:color w:val="auto"/>
          <w:spacing w:val="4"/>
          <w:sz w:val="24"/>
          <w:highlight w:val="none"/>
          <w:u w:val="single"/>
        </w:rPr>
      </w:pPr>
      <w:r>
        <w:rPr>
          <w:rFonts w:hint="eastAsia" w:ascii="华文宋体" w:hAnsi="华文宋体" w:eastAsia="华文宋体" w:cs="华文宋体"/>
          <w:color w:val="auto"/>
          <w:spacing w:val="4"/>
          <w:sz w:val="24"/>
          <w:highlight w:val="none"/>
        </w:rPr>
        <w:t>法定代表人或其授权代表（签名）：</w:t>
      </w:r>
      <w:r>
        <w:rPr>
          <w:rFonts w:hint="eastAsia" w:ascii="华文宋体" w:hAnsi="华文宋体" w:eastAsia="华文宋体" w:cs="华文宋体"/>
          <w:color w:val="auto"/>
          <w:spacing w:val="4"/>
          <w:sz w:val="24"/>
          <w:highlight w:val="none"/>
          <w:u w:val="single"/>
        </w:rPr>
        <w:t xml:space="preserve">             </w:t>
      </w:r>
    </w:p>
    <w:p>
      <w:pPr>
        <w:pStyle w:val="47"/>
        <w:ind w:firstLine="3578" w:firstLineChars="1443"/>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日期：</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年</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月</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日</w:t>
      </w:r>
    </w:p>
    <w:p>
      <w:pPr>
        <w:rPr>
          <w:rFonts w:hint="eastAsia" w:ascii="华文宋体" w:hAnsi="华文宋体" w:eastAsia="华文宋体" w:cs="华文宋体"/>
          <w:color w:val="auto"/>
          <w:highlight w:val="none"/>
        </w:rPr>
      </w:pPr>
      <w:r>
        <w:rPr>
          <w:rFonts w:hint="eastAsia" w:ascii="华文宋体" w:hAnsi="华文宋体" w:eastAsia="华文宋体" w:cs="华文宋体"/>
          <w:color w:val="auto"/>
          <w:spacing w:val="4"/>
          <w:sz w:val="24"/>
          <w:highlight w:val="none"/>
        </w:rPr>
        <w:br w:type="page"/>
      </w:r>
    </w:p>
    <w:p>
      <w:pPr>
        <w:pStyle w:val="5"/>
        <w:adjustRightInd w:val="0"/>
        <w:snapToGrid w:val="0"/>
        <w:spacing w:before="120" w:beforeLines="50" w:after="120" w:afterLines="50" w:line="360" w:lineRule="auto"/>
        <w:jc w:val="center"/>
        <w:rPr>
          <w:rFonts w:hint="eastAsia" w:ascii="华文宋体" w:hAnsi="华文宋体" w:eastAsia="华文宋体" w:cs="华文宋体"/>
          <w:color w:val="auto"/>
          <w:szCs w:val="21"/>
          <w:highlight w:val="none"/>
        </w:rPr>
      </w:pPr>
      <w:r>
        <w:rPr>
          <w:rFonts w:hint="eastAsia" w:ascii="华文宋体" w:hAnsi="华文宋体" w:eastAsia="华文宋体" w:cs="华文宋体"/>
          <w:color w:val="auto"/>
          <w:szCs w:val="21"/>
          <w:highlight w:val="none"/>
        </w:rPr>
        <w:t>承 诺 函</w:t>
      </w:r>
    </w:p>
    <w:p>
      <w:pPr>
        <w:snapToGrid w:val="0"/>
        <w:spacing w:line="360" w:lineRule="auto"/>
        <w:rPr>
          <w:rFonts w:hint="eastAsia" w:ascii="华文宋体" w:hAnsi="华文宋体" w:eastAsia="华文宋体" w:cs="华文宋体"/>
          <w:b/>
          <w:color w:val="auto"/>
          <w:sz w:val="24"/>
          <w:szCs w:val="24"/>
          <w:highlight w:val="none"/>
        </w:rPr>
      </w:pPr>
      <w:r>
        <w:rPr>
          <w:rFonts w:hint="eastAsia" w:ascii="华文宋体" w:hAnsi="华文宋体" w:cs="华文宋体"/>
          <w:b/>
          <w:color w:val="auto"/>
          <w:sz w:val="24"/>
          <w:szCs w:val="24"/>
          <w:highlight w:val="none"/>
          <w:lang w:val="en-US" w:eastAsia="zh-CN"/>
        </w:rPr>
        <w:t>广东省</w:t>
      </w:r>
      <w:r>
        <w:rPr>
          <w:rFonts w:hint="eastAsia" w:ascii="华文宋体" w:hAnsi="华文宋体" w:eastAsia="华文宋体" w:cs="华文宋体"/>
          <w:b/>
          <w:color w:val="auto"/>
          <w:sz w:val="24"/>
          <w:szCs w:val="24"/>
          <w:highlight w:val="none"/>
        </w:rPr>
        <w:t>广州市越秀区消防救援大队、广东公采招标有限公司：</w:t>
      </w:r>
    </w:p>
    <w:p>
      <w:pPr>
        <w:snapToGrid w:val="0"/>
        <w:spacing w:line="360" w:lineRule="auto"/>
        <w:ind w:firstLine="480" w:firstLineChars="20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关于贵单位</w:t>
      </w:r>
      <w:r>
        <w:rPr>
          <w:rFonts w:hint="eastAsia" w:ascii="华文宋体" w:hAnsi="华文宋体" w:eastAsia="华文宋体" w:cs="华文宋体"/>
          <w:color w:val="auto"/>
          <w:sz w:val="24"/>
          <w:szCs w:val="24"/>
          <w:highlight w:val="none"/>
          <w:u w:val="single"/>
        </w:rPr>
        <w:t>　</w:t>
      </w:r>
      <w:r>
        <w:rPr>
          <w:rFonts w:hint="eastAsia" w:ascii="华文宋体" w:hAnsi="华文宋体" w:cs="华文宋体"/>
          <w:color w:val="auto"/>
          <w:sz w:val="24"/>
          <w:szCs w:val="24"/>
          <w:highlight w:val="none"/>
          <w:u w:val="single"/>
          <w:lang w:val="en-US" w:eastAsia="zh-CN"/>
        </w:rPr>
        <w:t xml:space="preserve">   </w:t>
      </w:r>
      <w:r>
        <w:rPr>
          <w:rFonts w:hint="eastAsia" w:ascii="华文宋体" w:hAnsi="华文宋体" w:eastAsia="华文宋体" w:cs="华文宋体"/>
          <w:color w:val="auto"/>
          <w:sz w:val="24"/>
          <w:szCs w:val="24"/>
          <w:highlight w:val="none"/>
        </w:rPr>
        <w:t>年</w:t>
      </w:r>
      <w:r>
        <w:rPr>
          <w:rFonts w:hint="eastAsia" w:ascii="华文宋体" w:hAnsi="华文宋体" w:eastAsia="华文宋体" w:cs="华文宋体"/>
          <w:color w:val="auto"/>
          <w:sz w:val="24"/>
          <w:szCs w:val="24"/>
          <w:highlight w:val="none"/>
          <w:u w:val="single"/>
        </w:rPr>
        <w:t>　　</w:t>
      </w:r>
      <w:r>
        <w:rPr>
          <w:rFonts w:hint="eastAsia" w:ascii="华文宋体" w:hAnsi="华文宋体" w:eastAsia="华文宋体" w:cs="华文宋体"/>
          <w:color w:val="auto"/>
          <w:sz w:val="24"/>
          <w:szCs w:val="24"/>
          <w:highlight w:val="none"/>
        </w:rPr>
        <w:t>月</w:t>
      </w:r>
      <w:r>
        <w:rPr>
          <w:rFonts w:hint="eastAsia" w:ascii="华文宋体" w:hAnsi="华文宋体" w:eastAsia="华文宋体" w:cs="华文宋体"/>
          <w:color w:val="auto"/>
          <w:sz w:val="24"/>
          <w:szCs w:val="24"/>
          <w:highlight w:val="none"/>
          <w:u w:val="single"/>
        </w:rPr>
        <w:t>　　</w:t>
      </w:r>
      <w:r>
        <w:rPr>
          <w:rFonts w:hint="eastAsia" w:ascii="华文宋体" w:hAnsi="华文宋体" w:eastAsia="华文宋体" w:cs="华文宋体"/>
          <w:color w:val="auto"/>
          <w:sz w:val="24"/>
          <w:szCs w:val="24"/>
          <w:highlight w:val="none"/>
        </w:rPr>
        <w:t>日发布</w:t>
      </w:r>
      <w:r>
        <w:rPr>
          <w:rFonts w:hint="eastAsia" w:ascii="华文宋体" w:hAnsi="华文宋体" w:cs="华文宋体"/>
          <w:color w:val="auto"/>
          <w:sz w:val="24"/>
          <w:szCs w:val="24"/>
          <w:highlight w:val="none"/>
          <w:u w:val="single"/>
          <w:lang w:val="en-US" w:eastAsia="zh-CN"/>
        </w:rPr>
        <w:t xml:space="preserve">          </w:t>
      </w:r>
      <w:r>
        <w:rPr>
          <w:rFonts w:hint="eastAsia" w:ascii="华文宋体" w:hAnsi="华文宋体" w:cs="华文宋体"/>
          <w:color w:val="auto"/>
          <w:sz w:val="24"/>
          <w:szCs w:val="24"/>
          <w:highlight w:val="none"/>
          <w:lang w:val="en-US" w:eastAsia="zh-CN"/>
        </w:rPr>
        <w:t xml:space="preserve"> </w:t>
      </w:r>
      <w:r>
        <w:rPr>
          <w:rFonts w:hint="eastAsia" w:ascii="华文宋体" w:hAnsi="华文宋体" w:eastAsia="华文宋体" w:cs="华文宋体"/>
          <w:color w:val="auto"/>
          <w:sz w:val="24"/>
          <w:szCs w:val="24"/>
          <w:highlight w:val="none"/>
        </w:rPr>
        <w:t>项目（项目编号：GDGC2304CS18）的竞争性磋商公告，本公司（企业）愿意参加磋商，并作出如下承诺：</w:t>
      </w:r>
    </w:p>
    <w:p>
      <w:pPr>
        <w:pStyle w:val="57"/>
        <w:tabs>
          <w:tab w:val="left" w:pos="426"/>
        </w:tabs>
        <w:snapToGrid w:val="0"/>
        <w:spacing w:line="360" w:lineRule="auto"/>
        <w:ind w:firstLineChars="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如本公司（企业）成交，我单位承诺按照《交通运输部关于修改&lt;机动车维修管理规定&gt;的决定》（交通运输部令2019年第20号）、《交通运输部办公厅关于开展汽车维修电子健康档案系统建设工作的通知》（交办运〔2017〕69号）等相关规定，配合行业主管部门严格执行汽车维修电子健康档案和机动车维修竣工出厂合格证制度。</w:t>
      </w:r>
    </w:p>
    <w:p>
      <w:pPr>
        <w:pStyle w:val="57"/>
        <w:tabs>
          <w:tab w:val="left" w:pos="426"/>
        </w:tabs>
        <w:snapToGrid w:val="0"/>
        <w:spacing w:line="360" w:lineRule="auto"/>
        <w:ind w:firstLineChars="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如本公司（企业）成交，我单位承诺对采购人车辆实行应急救援服务、上门维修服务和24小时服务；当采购人车辆在营区内发生故障，我单位在采购人提出维修需求后1小时提供上门维修服务；在广州市行政区域，采购人车辆发生故障需急修的，我单位及时派员抢修，2小时内到达，并免费提供拖车救援服务；当采购人执行重大任务用车时，我单位派出维修人员伴随保障。我单位建立</w:t>
      </w:r>
      <w:r>
        <w:rPr>
          <w:rFonts w:hint="eastAsia" w:ascii="华文宋体" w:hAnsi="华文宋体" w:eastAsia="华文宋体" w:cs="华文宋体"/>
          <w:color w:val="auto"/>
          <w:sz w:val="24"/>
          <w:szCs w:val="24"/>
          <w:highlight w:val="none"/>
          <w:lang w:eastAsia="zh-CN"/>
        </w:rPr>
        <w:t>车辆</w:t>
      </w:r>
      <w:r>
        <w:rPr>
          <w:rFonts w:hint="eastAsia" w:ascii="华文宋体" w:hAnsi="华文宋体" w:eastAsia="华文宋体" w:cs="华文宋体"/>
          <w:color w:val="auto"/>
          <w:sz w:val="24"/>
          <w:szCs w:val="24"/>
          <w:highlight w:val="none"/>
        </w:rPr>
        <w:t>维修应急保障组，制定应急保障方案。采购人提供应急保障需求时。我单位应急保障组必须立即出动，能够完成</w:t>
      </w:r>
      <w:r>
        <w:rPr>
          <w:rFonts w:hint="eastAsia" w:ascii="华文宋体" w:hAnsi="华文宋体" w:eastAsia="华文宋体" w:cs="华文宋体"/>
          <w:color w:val="auto"/>
          <w:sz w:val="24"/>
          <w:szCs w:val="24"/>
          <w:highlight w:val="none"/>
          <w:lang w:eastAsia="zh-CN"/>
        </w:rPr>
        <w:t>采购单位</w:t>
      </w:r>
      <w:r>
        <w:rPr>
          <w:rFonts w:hint="eastAsia" w:ascii="华文宋体" w:hAnsi="华文宋体" w:eastAsia="华文宋体" w:cs="华文宋体"/>
          <w:color w:val="auto"/>
          <w:sz w:val="24"/>
          <w:szCs w:val="24"/>
          <w:highlight w:val="none"/>
        </w:rPr>
        <w:t>因战备任务需要紧急维修的任务。</w:t>
      </w:r>
    </w:p>
    <w:p>
      <w:pPr>
        <w:pStyle w:val="57"/>
        <w:tabs>
          <w:tab w:val="left" w:pos="426"/>
        </w:tabs>
        <w:snapToGrid w:val="0"/>
        <w:spacing w:line="360" w:lineRule="auto"/>
        <w:ind w:firstLineChars="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本公司（企业）承诺所提交的承诺书真实、有效，所造成的损失、不良后果及法律责任，一律由本公司（企业）承担。</w:t>
      </w:r>
    </w:p>
    <w:p>
      <w:pPr>
        <w:snapToGrid w:val="0"/>
        <w:spacing w:line="460" w:lineRule="exact"/>
        <w:rPr>
          <w:rFonts w:hint="eastAsia" w:ascii="华文宋体" w:hAnsi="华文宋体" w:eastAsia="华文宋体" w:cs="华文宋体"/>
          <w:color w:val="auto"/>
          <w:spacing w:val="4"/>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宋体" w:hAnsi="华文宋体" w:eastAsia="华文宋体" w:cs="华文宋体"/>
          <w:color w:val="auto"/>
          <w:spacing w:val="4"/>
          <w:sz w:val="24"/>
          <w:szCs w:val="24"/>
          <w:highlight w:val="none"/>
        </w:rPr>
      </w:pPr>
      <w:r>
        <w:rPr>
          <w:rFonts w:hint="eastAsia" w:ascii="华文宋体" w:hAnsi="华文宋体" w:eastAsia="华文宋体" w:cs="华文宋体"/>
          <w:color w:val="auto"/>
          <w:spacing w:val="4"/>
          <w:sz w:val="24"/>
          <w:szCs w:val="24"/>
          <w:highlight w:val="none"/>
        </w:rPr>
        <w:t>响应供应商名称（单位盖公章）：</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华文宋体" w:hAnsi="华文宋体" w:eastAsia="华文宋体" w:cs="华文宋体"/>
          <w:color w:val="auto"/>
          <w:spacing w:val="4"/>
          <w:sz w:val="24"/>
          <w:szCs w:val="24"/>
          <w:highlight w:val="none"/>
          <w:u w:val="single"/>
        </w:rPr>
      </w:pPr>
      <w:r>
        <w:rPr>
          <w:rFonts w:hint="eastAsia" w:ascii="华文宋体" w:hAnsi="华文宋体" w:eastAsia="华文宋体" w:cs="华文宋体"/>
          <w:color w:val="auto"/>
          <w:spacing w:val="4"/>
          <w:sz w:val="24"/>
          <w:szCs w:val="24"/>
          <w:highlight w:val="none"/>
        </w:rPr>
        <w:t>日期：</w:t>
      </w:r>
    </w:p>
    <w:p>
      <w:pPr>
        <w:pStyle w:val="47"/>
        <w:ind w:firstLine="3578" w:firstLineChars="1443"/>
        <w:rPr>
          <w:rFonts w:hint="eastAsia" w:ascii="华文宋体" w:hAnsi="华文宋体" w:eastAsia="华文宋体" w:cs="华文宋体"/>
          <w:color w:val="auto"/>
          <w:spacing w:val="4"/>
          <w:sz w:val="24"/>
          <w:highlight w:val="none"/>
        </w:rPr>
      </w:pPr>
    </w:p>
    <w:p>
      <w:pPr>
        <w:rPr>
          <w:rFonts w:hint="eastAsia" w:ascii="华文宋体" w:hAnsi="华文宋体" w:eastAsia="华文宋体" w:cs="华文宋体"/>
          <w:color w:val="auto"/>
          <w:highlight w:val="none"/>
        </w:rPr>
      </w:pPr>
      <w:r>
        <w:rPr>
          <w:rFonts w:hint="eastAsia" w:ascii="华文宋体" w:hAnsi="华文宋体" w:eastAsia="华文宋体" w:cs="华文宋体"/>
          <w:b/>
          <w:bCs/>
          <w:color w:val="auto"/>
          <w:kern w:val="0"/>
          <w:sz w:val="28"/>
          <w:szCs w:val="28"/>
          <w:highlight w:val="none"/>
          <w:lang w:bidi="ar"/>
        </w:rPr>
        <w:br w:type="page"/>
      </w:r>
    </w:p>
    <w:p>
      <w:pPr>
        <w:widowControl/>
        <w:spacing w:after="120" w:afterLines="50"/>
        <w:ind w:right="119"/>
        <w:jc w:val="center"/>
        <w:rPr>
          <w:rFonts w:hint="eastAsia" w:ascii="华文宋体" w:hAnsi="华文宋体" w:eastAsia="华文宋体" w:cs="华文宋体"/>
          <w:b/>
          <w:bCs/>
          <w:color w:val="auto"/>
          <w:kern w:val="0"/>
          <w:sz w:val="32"/>
          <w:szCs w:val="32"/>
          <w:highlight w:val="none"/>
          <w:lang w:bidi="ar"/>
        </w:rPr>
      </w:pPr>
      <w:r>
        <w:rPr>
          <w:rFonts w:hint="eastAsia" w:ascii="华文宋体" w:hAnsi="华文宋体" w:eastAsia="华文宋体" w:cs="华文宋体"/>
          <w:b/>
          <w:bCs/>
          <w:color w:val="auto"/>
          <w:kern w:val="0"/>
          <w:sz w:val="32"/>
          <w:szCs w:val="32"/>
          <w:highlight w:val="none"/>
          <w:lang w:bidi="ar"/>
        </w:rPr>
        <w:t xml:space="preserve">采购代理服务费支付承诺书 </w:t>
      </w:r>
    </w:p>
    <w:p>
      <w:pPr>
        <w:bidi w:val="0"/>
        <w:rPr>
          <w:rFonts w:hint="eastAsia"/>
        </w:rPr>
      </w:pPr>
    </w:p>
    <w:p>
      <w:pPr>
        <w:spacing w:line="360" w:lineRule="auto"/>
        <w:rPr>
          <w:rFonts w:hint="eastAsia" w:ascii="华文宋体" w:hAnsi="华文宋体" w:eastAsia="华文宋体" w:cs="华文宋体"/>
          <w:b/>
          <w:bCs/>
          <w:color w:val="auto"/>
          <w:sz w:val="24"/>
          <w:highlight w:val="none"/>
        </w:rPr>
      </w:pPr>
      <w:r>
        <w:rPr>
          <w:rFonts w:hint="eastAsia" w:ascii="华文宋体" w:hAnsi="华文宋体" w:eastAsia="华文宋体" w:cs="华文宋体"/>
          <w:b/>
          <w:bCs/>
          <w:color w:val="auto"/>
          <w:sz w:val="24"/>
          <w:highlight w:val="none"/>
        </w:rPr>
        <w:t>致广东公采招标有限公司：</w:t>
      </w:r>
    </w:p>
    <w:p>
      <w:pPr>
        <w:pStyle w:val="47"/>
        <w:rPr>
          <w:rFonts w:hint="eastAsia" w:ascii="华文宋体" w:hAnsi="华文宋体" w:eastAsia="华文宋体" w:cs="华文宋体"/>
          <w:color w:val="auto"/>
          <w:highlight w:val="none"/>
        </w:rPr>
      </w:pPr>
    </w:p>
    <w:p>
      <w:pPr>
        <w:widowControl/>
        <w:spacing w:line="480" w:lineRule="auto"/>
        <w:ind w:firstLine="504" w:firstLineChars="200"/>
        <w:jc w:val="left"/>
        <w:rPr>
          <w:rFonts w:hint="eastAsia" w:ascii="华文宋体" w:hAnsi="华文宋体" w:eastAsia="华文宋体" w:cs="华文宋体"/>
          <w:color w:val="auto"/>
          <w:spacing w:val="6"/>
          <w:sz w:val="24"/>
          <w:highlight w:val="none"/>
        </w:rPr>
      </w:pPr>
      <w:r>
        <w:rPr>
          <w:rFonts w:hint="eastAsia" w:ascii="华文宋体" w:hAnsi="华文宋体" w:eastAsia="华文宋体" w:cs="华文宋体"/>
          <w:color w:val="auto"/>
          <w:spacing w:val="6"/>
          <w:sz w:val="24"/>
          <w:highlight w:val="none"/>
          <w:lang w:bidi="ar"/>
        </w:rPr>
        <w:t>本公司</w:t>
      </w:r>
      <w:r>
        <w:rPr>
          <w:rFonts w:hint="eastAsia" w:ascii="华文宋体" w:hAnsi="华文宋体" w:eastAsia="华文宋体" w:cs="华文宋体"/>
          <w:color w:val="auto"/>
          <w:spacing w:val="6"/>
          <w:sz w:val="24"/>
          <w:highlight w:val="none"/>
          <w:u w:val="single"/>
          <w:lang w:bidi="ar"/>
        </w:rPr>
        <w:t xml:space="preserve"> (供应商名称) </w:t>
      </w:r>
      <w:r>
        <w:rPr>
          <w:rFonts w:hint="eastAsia" w:ascii="华文宋体" w:hAnsi="华文宋体" w:eastAsia="华文宋体" w:cs="华文宋体"/>
          <w:color w:val="auto"/>
          <w:spacing w:val="6"/>
          <w:sz w:val="24"/>
          <w:highlight w:val="none"/>
          <w:lang w:bidi="ar"/>
        </w:rPr>
        <w:t>在参加贵公司举行的</w:t>
      </w:r>
      <w:r>
        <w:rPr>
          <w:rFonts w:hint="eastAsia" w:ascii="华文宋体" w:hAnsi="华文宋体" w:eastAsia="华文宋体" w:cs="华文宋体"/>
          <w:color w:val="auto"/>
          <w:spacing w:val="6"/>
          <w:sz w:val="24"/>
          <w:highlight w:val="none"/>
          <w:u w:val="single"/>
          <w:lang w:bidi="ar"/>
        </w:rPr>
        <w:t>（项目名称）(项目编号:  )</w:t>
      </w:r>
      <w:r>
        <w:rPr>
          <w:rFonts w:hint="eastAsia" w:ascii="华文宋体" w:hAnsi="华文宋体" w:eastAsia="华文宋体" w:cs="华文宋体"/>
          <w:color w:val="auto"/>
          <w:spacing w:val="6"/>
          <w:sz w:val="24"/>
          <w:highlight w:val="none"/>
          <w:lang w:bidi="ar"/>
        </w:rPr>
        <w:t xml:space="preserve">响应中如获成交,保证在领取成交通知书前，向贵公司交纳采购代理服务费。 </w:t>
      </w:r>
    </w:p>
    <w:p>
      <w:pPr>
        <w:widowControl/>
        <w:spacing w:line="480" w:lineRule="auto"/>
        <w:ind w:firstLine="504" w:firstLineChars="200"/>
        <w:jc w:val="left"/>
        <w:rPr>
          <w:rFonts w:hint="eastAsia" w:ascii="华文宋体" w:hAnsi="华文宋体" w:eastAsia="华文宋体" w:cs="华文宋体"/>
          <w:color w:val="auto"/>
          <w:spacing w:val="6"/>
          <w:sz w:val="24"/>
          <w:highlight w:val="none"/>
        </w:rPr>
      </w:pPr>
      <w:r>
        <w:rPr>
          <w:rFonts w:hint="eastAsia" w:ascii="华文宋体" w:hAnsi="华文宋体" w:eastAsia="华文宋体" w:cs="华文宋体"/>
          <w:color w:val="auto"/>
          <w:spacing w:val="6"/>
          <w:sz w:val="24"/>
          <w:highlight w:val="none"/>
          <w:lang w:bidi="ar"/>
        </w:rPr>
        <w:t xml:space="preserve">如我公司违反上述承诺，愿意承担由此引起的全部法律责任。 </w:t>
      </w:r>
    </w:p>
    <w:p>
      <w:pPr>
        <w:widowControl/>
        <w:spacing w:line="480" w:lineRule="auto"/>
        <w:ind w:firstLine="504" w:firstLineChars="200"/>
        <w:jc w:val="left"/>
        <w:rPr>
          <w:rFonts w:hint="eastAsia" w:ascii="华文宋体" w:hAnsi="华文宋体" w:eastAsia="华文宋体" w:cs="华文宋体"/>
          <w:color w:val="auto"/>
          <w:spacing w:val="6"/>
          <w:sz w:val="24"/>
          <w:highlight w:val="none"/>
          <w:lang w:bidi="ar"/>
        </w:rPr>
      </w:pPr>
      <w:r>
        <w:rPr>
          <w:rFonts w:hint="eastAsia" w:ascii="华文宋体" w:hAnsi="华文宋体" w:eastAsia="华文宋体" w:cs="华文宋体"/>
          <w:color w:val="auto"/>
          <w:spacing w:val="6"/>
          <w:sz w:val="24"/>
          <w:highlight w:val="none"/>
          <w:lang w:bidi="ar"/>
        </w:rPr>
        <w:t>特此承诺。</w:t>
      </w:r>
    </w:p>
    <w:p>
      <w:pPr>
        <w:widowControl/>
        <w:spacing w:line="480" w:lineRule="auto"/>
        <w:ind w:firstLine="504" w:firstLineChars="200"/>
        <w:jc w:val="left"/>
        <w:rPr>
          <w:rFonts w:hint="eastAsia" w:ascii="华文宋体" w:hAnsi="华文宋体" w:eastAsia="华文宋体" w:cs="华文宋体"/>
          <w:color w:val="auto"/>
          <w:spacing w:val="6"/>
          <w:sz w:val="24"/>
          <w:highlight w:val="none"/>
        </w:rPr>
      </w:pPr>
      <w:r>
        <w:rPr>
          <w:rFonts w:hint="eastAsia" w:ascii="华文宋体" w:hAnsi="华文宋体" w:eastAsia="华文宋体" w:cs="华文宋体"/>
          <w:color w:val="auto"/>
          <w:spacing w:val="6"/>
          <w:sz w:val="24"/>
          <w:highlight w:val="none"/>
          <w:lang w:bidi="ar"/>
        </w:rPr>
        <w:t xml:space="preserve"> </w:t>
      </w:r>
    </w:p>
    <w:p>
      <w:pPr>
        <w:adjustRightInd w:val="0"/>
        <w:snapToGrid w:val="0"/>
        <w:spacing w:line="480" w:lineRule="auto"/>
        <w:ind w:firstLine="3578" w:firstLineChars="1443"/>
        <w:rPr>
          <w:rFonts w:hint="eastAsia" w:ascii="华文宋体" w:hAnsi="华文宋体" w:eastAsia="华文宋体" w:cs="华文宋体"/>
          <w:color w:val="auto"/>
          <w:sz w:val="24"/>
          <w:highlight w:val="none"/>
          <w:u w:val="single"/>
        </w:rPr>
      </w:pPr>
      <w:r>
        <w:rPr>
          <w:rFonts w:hint="eastAsia" w:ascii="华文宋体" w:hAnsi="华文宋体" w:eastAsia="华文宋体" w:cs="华文宋体"/>
          <w:color w:val="auto"/>
          <w:spacing w:val="4"/>
          <w:sz w:val="24"/>
          <w:highlight w:val="none"/>
        </w:rPr>
        <w:t>供应商名称（公章）：</w:t>
      </w:r>
      <w:r>
        <w:rPr>
          <w:rFonts w:hint="eastAsia" w:ascii="华文宋体" w:hAnsi="华文宋体" w:eastAsia="华文宋体" w:cs="华文宋体"/>
          <w:color w:val="auto"/>
          <w:spacing w:val="4"/>
          <w:sz w:val="24"/>
          <w:highlight w:val="none"/>
          <w:u w:val="single"/>
        </w:rPr>
        <w:t xml:space="preserve">                         </w:t>
      </w:r>
    </w:p>
    <w:p>
      <w:pPr>
        <w:adjustRightInd w:val="0"/>
        <w:snapToGrid w:val="0"/>
        <w:spacing w:line="480" w:lineRule="auto"/>
        <w:ind w:firstLine="3578" w:firstLineChars="1443"/>
        <w:rPr>
          <w:rFonts w:hint="eastAsia" w:ascii="华文宋体" w:hAnsi="华文宋体" w:eastAsia="华文宋体" w:cs="华文宋体"/>
          <w:color w:val="auto"/>
          <w:spacing w:val="4"/>
          <w:sz w:val="24"/>
          <w:highlight w:val="none"/>
          <w:u w:val="single"/>
        </w:rPr>
      </w:pPr>
      <w:r>
        <w:rPr>
          <w:rFonts w:hint="eastAsia" w:ascii="华文宋体" w:hAnsi="华文宋体" w:eastAsia="华文宋体" w:cs="华文宋体"/>
          <w:color w:val="auto"/>
          <w:spacing w:val="4"/>
          <w:sz w:val="24"/>
          <w:highlight w:val="none"/>
        </w:rPr>
        <w:t>法定代表人或其授权代表（签名）：</w:t>
      </w:r>
      <w:r>
        <w:rPr>
          <w:rFonts w:hint="eastAsia" w:ascii="华文宋体" w:hAnsi="华文宋体" w:eastAsia="华文宋体" w:cs="华文宋体"/>
          <w:color w:val="auto"/>
          <w:spacing w:val="4"/>
          <w:sz w:val="24"/>
          <w:highlight w:val="none"/>
          <w:u w:val="single"/>
        </w:rPr>
        <w:t xml:space="preserve">             </w:t>
      </w:r>
    </w:p>
    <w:p>
      <w:pPr>
        <w:pStyle w:val="47"/>
        <w:ind w:firstLine="3578" w:firstLineChars="1443"/>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日期：</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年</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月</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日</w:t>
      </w:r>
    </w:p>
    <w:p>
      <w:pPr>
        <w:pStyle w:val="47"/>
        <w:ind w:firstLine="3578" w:firstLineChars="1443"/>
        <w:rPr>
          <w:rFonts w:hint="eastAsia" w:ascii="华文宋体" w:hAnsi="华文宋体" w:eastAsia="华文宋体" w:cs="华文宋体"/>
          <w:color w:val="auto"/>
          <w:spacing w:val="4"/>
          <w:sz w:val="24"/>
          <w:highlight w:val="none"/>
        </w:rPr>
      </w:pPr>
    </w:p>
    <w:p>
      <w:pPr>
        <w:pStyle w:val="47"/>
        <w:ind w:firstLine="3578" w:firstLineChars="1443"/>
        <w:rPr>
          <w:rFonts w:hint="eastAsia" w:ascii="华文宋体" w:hAnsi="华文宋体" w:eastAsia="华文宋体" w:cs="华文宋体"/>
          <w:color w:val="auto"/>
          <w:spacing w:val="4"/>
          <w:sz w:val="24"/>
          <w:highlight w:val="none"/>
        </w:rPr>
      </w:pPr>
    </w:p>
    <w:p>
      <w:pPr>
        <w:pStyle w:val="47"/>
        <w:ind w:firstLine="3578" w:firstLineChars="1443"/>
        <w:rPr>
          <w:rFonts w:hint="eastAsia" w:ascii="华文宋体" w:hAnsi="华文宋体" w:eastAsia="华文宋体" w:cs="华文宋体"/>
          <w:color w:val="auto"/>
          <w:spacing w:val="4"/>
          <w:sz w:val="24"/>
          <w:highlight w:val="none"/>
        </w:rPr>
      </w:pPr>
    </w:p>
    <w:p>
      <w:pPr>
        <w:pStyle w:val="47"/>
        <w:ind w:firstLine="3578" w:firstLineChars="1443"/>
        <w:rPr>
          <w:rFonts w:hint="eastAsia" w:ascii="华文宋体" w:hAnsi="华文宋体" w:eastAsia="华文宋体" w:cs="华文宋体"/>
          <w:color w:val="auto"/>
          <w:spacing w:val="4"/>
          <w:sz w:val="24"/>
          <w:highlight w:val="none"/>
        </w:rPr>
      </w:pPr>
    </w:p>
    <w:p>
      <w:pPr>
        <w:pStyle w:val="47"/>
        <w:ind w:firstLine="3578" w:firstLineChars="1443"/>
        <w:rPr>
          <w:rFonts w:hint="eastAsia" w:ascii="华文宋体" w:hAnsi="华文宋体" w:eastAsia="华文宋体" w:cs="华文宋体"/>
          <w:color w:val="auto"/>
          <w:spacing w:val="4"/>
          <w:sz w:val="24"/>
          <w:highlight w:val="none"/>
        </w:rPr>
      </w:pPr>
    </w:p>
    <w:p>
      <w:pPr>
        <w:pStyle w:val="47"/>
        <w:ind w:firstLine="3578" w:firstLineChars="1443"/>
        <w:rPr>
          <w:rFonts w:hint="eastAsia" w:ascii="华文宋体" w:hAnsi="华文宋体" w:eastAsia="华文宋体" w:cs="华文宋体"/>
          <w:color w:val="auto"/>
          <w:spacing w:val="4"/>
          <w:sz w:val="24"/>
          <w:highlight w:val="none"/>
        </w:rPr>
      </w:pPr>
    </w:p>
    <w:p>
      <w:pPr>
        <w:pStyle w:val="47"/>
        <w:ind w:firstLine="3578" w:firstLineChars="1443"/>
        <w:rPr>
          <w:rFonts w:hint="eastAsia" w:ascii="华文宋体" w:hAnsi="华文宋体" w:eastAsia="华文宋体" w:cs="华文宋体"/>
          <w:color w:val="auto"/>
          <w:spacing w:val="4"/>
          <w:sz w:val="24"/>
          <w:highlight w:val="none"/>
        </w:rPr>
      </w:pPr>
    </w:p>
    <w:p>
      <w:pPr>
        <w:pStyle w:val="47"/>
        <w:ind w:firstLine="3578" w:firstLineChars="1443"/>
        <w:rPr>
          <w:rFonts w:hint="eastAsia" w:ascii="华文宋体" w:hAnsi="华文宋体" w:eastAsia="华文宋体" w:cs="华文宋体"/>
          <w:color w:val="auto"/>
          <w:spacing w:val="4"/>
          <w:sz w:val="24"/>
          <w:highlight w:val="none"/>
        </w:rPr>
      </w:pPr>
    </w:p>
    <w:p>
      <w:pPr>
        <w:pStyle w:val="47"/>
        <w:ind w:firstLine="3578" w:firstLineChars="1443"/>
        <w:rPr>
          <w:rFonts w:hint="eastAsia" w:ascii="华文宋体" w:hAnsi="华文宋体" w:eastAsia="华文宋体" w:cs="华文宋体"/>
          <w:color w:val="auto"/>
          <w:spacing w:val="4"/>
          <w:sz w:val="24"/>
          <w:highlight w:val="none"/>
        </w:rPr>
      </w:pPr>
    </w:p>
    <w:p>
      <w:pPr>
        <w:spacing w:line="240" w:lineRule="exact"/>
        <w:jc w:val="center"/>
        <w:rPr>
          <w:rFonts w:hint="eastAsia" w:ascii="华文宋体" w:hAnsi="华文宋体" w:eastAsia="华文宋体" w:cs="华文宋体"/>
          <w:b/>
          <w:bCs/>
          <w:color w:val="auto"/>
          <w:sz w:val="32"/>
          <w:szCs w:val="32"/>
          <w:highlight w:val="none"/>
        </w:rPr>
      </w:pPr>
      <w:r>
        <w:rPr>
          <w:rFonts w:hint="eastAsia" w:ascii="华文宋体" w:hAnsi="华文宋体" w:eastAsia="华文宋体" w:cs="华文宋体"/>
          <w:b/>
          <w:bCs/>
          <w:color w:val="auto"/>
          <w:sz w:val="32"/>
          <w:szCs w:val="32"/>
          <w:highlight w:val="none"/>
        </w:rPr>
        <w:br w:type="textWrapping"/>
      </w:r>
    </w:p>
    <w:p>
      <w:pPr>
        <w:jc w:val="center"/>
        <w:rPr>
          <w:rFonts w:hint="eastAsia" w:ascii="华文宋体" w:hAnsi="华文宋体" w:eastAsia="华文宋体" w:cs="华文宋体"/>
          <w:b/>
          <w:color w:val="auto"/>
          <w:sz w:val="32"/>
          <w:szCs w:val="32"/>
          <w:highlight w:val="none"/>
        </w:rPr>
      </w:pPr>
      <w:r>
        <w:rPr>
          <w:rFonts w:hint="eastAsia" w:ascii="华文宋体" w:hAnsi="华文宋体" w:eastAsia="华文宋体" w:cs="华文宋体"/>
          <w:b/>
          <w:color w:val="auto"/>
          <w:sz w:val="32"/>
          <w:szCs w:val="32"/>
          <w:highlight w:val="none"/>
        </w:rPr>
        <w:t>开票资料说明函</w:t>
      </w:r>
    </w:p>
    <w:p>
      <w:pPr>
        <w:bidi w:val="0"/>
        <w:rPr>
          <w:rFonts w:hint="eastAsia"/>
        </w:rPr>
      </w:pPr>
    </w:p>
    <w:p>
      <w:pPr>
        <w:spacing w:line="360" w:lineRule="auto"/>
        <w:rPr>
          <w:rFonts w:hint="eastAsia" w:ascii="华文宋体" w:hAnsi="华文宋体" w:eastAsia="华文宋体" w:cs="华文宋体"/>
          <w:b/>
          <w:bCs/>
          <w:color w:val="auto"/>
          <w:sz w:val="24"/>
          <w:highlight w:val="none"/>
        </w:rPr>
      </w:pPr>
      <w:r>
        <w:rPr>
          <w:rFonts w:hint="eastAsia" w:ascii="华文宋体" w:hAnsi="华文宋体" w:eastAsia="华文宋体" w:cs="华文宋体"/>
          <w:b/>
          <w:bCs/>
          <w:color w:val="auto"/>
          <w:sz w:val="24"/>
          <w:highlight w:val="none"/>
        </w:rPr>
        <w:t>致广东公采招标有限公司：</w:t>
      </w:r>
    </w:p>
    <w:p>
      <w:pPr>
        <w:adjustRightInd w:val="0"/>
        <w:snapToGrid w:val="0"/>
        <w:spacing w:before="120" w:beforeLines="50" w:line="360" w:lineRule="auto"/>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本公司</w:t>
      </w:r>
      <w:r>
        <w:rPr>
          <w:rFonts w:hint="eastAsia" w:ascii="华文宋体" w:hAnsi="华文宋体" w:eastAsia="华文宋体" w:cs="华文宋体"/>
          <w:color w:val="auto"/>
          <w:sz w:val="24"/>
          <w:highlight w:val="none"/>
          <w:u w:val="single"/>
        </w:rPr>
        <w:t xml:space="preserve">   (供应商名称)  </w:t>
      </w:r>
      <w:r>
        <w:rPr>
          <w:rFonts w:hint="eastAsia" w:ascii="华文宋体" w:hAnsi="华文宋体" w:eastAsia="华文宋体" w:cs="华文宋体"/>
          <w:color w:val="auto"/>
          <w:sz w:val="24"/>
          <w:highlight w:val="none"/>
        </w:rPr>
        <w:t>在参加贵方举行的</w:t>
      </w:r>
      <w:r>
        <w:rPr>
          <w:rFonts w:hint="eastAsia" w:ascii="华文宋体" w:hAnsi="华文宋体" w:eastAsia="华文宋体" w:cs="华文宋体"/>
          <w:color w:val="auto"/>
          <w:sz w:val="24"/>
          <w:highlight w:val="none"/>
          <w:u w:val="single"/>
        </w:rPr>
        <w:t>广东省广州市越秀区消防救援大队2023年消防车辆维修和保养服务采购项目</w:t>
      </w:r>
      <w:r>
        <w:rPr>
          <w:rFonts w:hint="eastAsia" w:ascii="华文宋体" w:hAnsi="华文宋体" w:eastAsia="华文宋体" w:cs="华文宋体"/>
          <w:color w:val="auto"/>
          <w:sz w:val="24"/>
          <w:highlight w:val="none"/>
        </w:rPr>
        <w:t>（项目编号:</w:t>
      </w:r>
      <w:r>
        <w:rPr>
          <w:rFonts w:hint="eastAsia" w:ascii="华文宋体" w:hAnsi="华文宋体" w:eastAsia="华文宋体" w:cs="华文宋体"/>
          <w:color w:val="auto"/>
          <w:sz w:val="24"/>
          <w:highlight w:val="none"/>
          <w:u w:val="single"/>
        </w:rPr>
        <w:t xml:space="preserve">          </w:t>
      </w:r>
      <w:r>
        <w:rPr>
          <w:rFonts w:hint="eastAsia" w:ascii="华文宋体" w:hAnsi="华文宋体" w:eastAsia="华文宋体" w:cs="华文宋体"/>
          <w:color w:val="auto"/>
          <w:sz w:val="24"/>
          <w:highlight w:val="none"/>
        </w:rPr>
        <w:t>）的采购活动中如获成为成交供应商，则开票类型选择</w:t>
      </w:r>
      <w:r>
        <w:rPr>
          <w:rFonts w:hint="eastAsia" w:ascii="华文宋体" w:hAnsi="华文宋体" w:eastAsia="华文宋体" w:cs="华文宋体"/>
          <w:b/>
          <w:color w:val="auto"/>
          <w:sz w:val="24"/>
          <w:highlight w:val="none"/>
          <w:u w:val="single"/>
        </w:rPr>
        <w:t>□电子普通发票</w:t>
      </w:r>
      <w:r>
        <w:rPr>
          <w:rFonts w:hint="eastAsia" w:ascii="华文宋体" w:hAnsi="华文宋体" w:eastAsia="华文宋体" w:cs="华文宋体"/>
          <w:b/>
          <w:color w:val="auto"/>
          <w:sz w:val="24"/>
          <w:highlight w:val="none"/>
        </w:rPr>
        <w:t xml:space="preserve"> </w:t>
      </w:r>
      <w:r>
        <w:rPr>
          <w:rFonts w:hint="eastAsia" w:ascii="华文宋体" w:hAnsi="华文宋体" w:eastAsia="华文宋体" w:cs="华文宋体"/>
          <w:b/>
          <w:color w:val="auto"/>
          <w:sz w:val="24"/>
          <w:highlight w:val="none"/>
          <w:u w:val="single"/>
        </w:rPr>
        <w:t>□增值税普通发票</w:t>
      </w:r>
      <w:r>
        <w:rPr>
          <w:rFonts w:hint="eastAsia" w:ascii="华文宋体" w:hAnsi="华文宋体" w:eastAsia="华文宋体" w:cs="华文宋体"/>
          <w:b/>
          <w:color w:val="auto"/>
          <w:sz w:val="24"/>
          <w:highlight w:val="none"/>
        </w:rPr>
        <w:t xml:space="preserve"> </w:t>
      </w:r>
      <w:r>
        <w:rPr>
          <w:rFonts w:hint="eastAsia" w:ascii="华文宋体" w:hAnsi="华文宋体" w:eastAsia="华文宋体" w:cs="华文宋体"/>
          <w:b/>
          <w:color w:val="auto"/>
          <w:sz w:val="24"/>
          <w:highlight w:val="none"/>
          <w:u w:val="single"/>
        </w:rPr>
        <w:t>□增值税专用发票</w:t>
      </w:r>
      <w:r>
        <w:rPr>
          <w:rFonts w:hint="eastAsia" w:ascii="华文宋体" w:hAnsi="华文宋体" w:eastAsia="华文宋体" w:cs="华文宋体"/>
          <w:color w:val="auto"/>
          <w:sz w:val="24"/>
          <w:highlight w:val="none"/>
        </w:rPr>
        <w:t>（</w:t>
      </w:r>
      <w:r>
        <w:rPr>
          <w:rFonts w:hint="eastAsia" w:ascii="华文宋体" w:hAnsi="华文宋体" w:eastAsia="华文宋体" w:cs="华文宋体"/>
          <w:b/>
          <w:color w:val="auto"/>
          <w:sz w:val="24"/>
          <w:highlight w:val="none"/>
        </w:rPr>
        <w:t>请在对应的“□”打“√”，且只能选择其中一项）</w:t>
      </w:r>
      <w:r>
        <w:rPr>
          <w:rFonts w:hint="eastAsia" w:ascii="华文宋体" w:hAnsi="华文宋体" w:eastAsia="华文宋体" w:cs="华文宋体"/>
          <w:color w:val="auto"/>
          <w:sz w:val="24"/>
          <w:highlight w:val="none"/>
        </w:rPr>
        <w:t>。我司的开票资料如下：</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5163"/>
        <w:gridCol w:w="1179"/>
        <w:gridCol w:w="16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662" w:type="dxa"/>
            <w:tcBorders>
              <w:top w:val="single" w:color="auto" w:sz="4" w:space="0"/>
              <w:left w:val="single" w:color="auto" w:sz="4" w:space="0"/>
            </w:tcBorders>
            <w:noWrap w:val="0"/>
            <w:vAlign w:val="center"/>
          </w:tcPr>
          <w:p>
            <w:pPr>
              <w:spacing w:line="42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单位名称</w:t>
            </w:r>
          </w:p>
        </w:tc>
        <w:tc>
          <w:tcPr>
            <w:tcW w:w="8007" w:type="dxa"/>
            <w:gridSpan w:val="3"/>
            <w:tcBorders>
              <w:top w:val="single" w:color="auto" w:sz="4" w:space="0"/>
              <w:right w:val="single" w:color="auto" w:sz="4" w:space="0"/>
            </w:tcBorders>
            <w:noWrap w:val="0"/>
            <w:vAlign w:val="center"/>
          </w:tcPr>
          <w:p>
            <w:pPr>
              <w:spacing w:line="420" w:lineRule="exact"/>
              <w:jc w:val="center"/>
              <w:rPr>
                <w:rFonts w:hint="eastAsia" w:ascii="华文宋体" w:hAnsi="华文宋体" w:eastAsia="华文宋体" w:cs="华文宋体"/>
                <w:color w:val="auto"/>
                <w:sz w:val="23"/>
                <w:szCs w:val="23"/>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662" w:type="dxa"/>
            <w:tcBorders>
              <w:left w:val="single" w:color="auto" w:sz="4" w:space="0"/>
            </w:tcBorders>
            <w:noWrap w:val="0"/>
            <w:vAlign w:val="center"/>
          </w:tcPr>
          <w:p>
            <w:pPr>
              <w:spacing w:line="42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纳税人识别号</w:t>
            </w:r>
          </w:p>
        </w:tc>
        <w:tc>
          <w:tcPr>
            <w:tcW w:w="8007" w:type="dxa"/>
            <w:gridSpan w:val="3"/>
            <w:tcBorders>
              <w:right w:val="single" w:color="auto" w:sz="4" w:space="0"/>
            </w:tcBorders>
            <w:noWrap w:val="0"/>
            <w:vAlign w:val="center"/>
          </w:tcPr>
          <w:p>
            <w:pPr>
              <w:spacing w:line="420" w:lineRule="exact"/>
              <w:jc w:val="center"/>
              <w:rPr>
                <w:rFonts w:hint="eastAsia" w:ascii="华文宋体" w:hAnsi="华文宋体" w:eastAsia="华文宋体" w:cs="华文宋体"/>
                <w:color w:val="auto"/>
                <w:sz w:val="23"/>
                <w:szCs w:val="23"/>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662" w:type="dxa"/>
            <w:tcBorders>
              <w:left w:val="single" w:color="auto" w:sz="4" w:space="0"/>
            </w:tcBorders>
            <w:noWrap w:val="0"/>
            <w:vAlign w:val="center"/>
          </w:tcPr>
          <w:p>
            <w:pPr>
              <w:spacing w:line="42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地址</w:t>
            </w:r>
          </w:p>
        </w:tc>
        <w:tc>
          <w:tcPr>
            <w:tcW w:w="8007" w:type="dxa"/>
            <w:gridSpan w:val="3"/>
            <w:tcBorders>
              <w:right w:val="single" w:color="auto" w:sz="4" w:space="0"/>
            </w:tcBorders>
            <w:noWrap w:val="0"/>
            <w:vAlign w:val="center"/>
          </w:tcPr>
          <w:p>
            <w:pPr>
              <w:spacing w:line="420" w:lineRule="exact"/>
              <w:jc w:val="center"/>
              <w:rPr>
                <w:rFonts w:hint="eastAsia" w:ascii="华文宋体" w:hAnsi="华文宋体" w:eastAsia="华文宋体" w:cs="华文宋体"/>
                <w:color w:val="auto"/>
                <w:sz w:val="23"/>
                <w:szCs w:val="23"/>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662" w:type="dxa"/>
            <w:tcBorders>
              <w:left w:val="single" w:color="auto" w:sz="4" w:space="0"/>
            </w:tcBorders>
            <w:noWrap w:val="0"/>
            <w:vAlign w:val="center"/>
          </w:tcPr>
          <w:p>
            <w:pPr>
              <w:spacing w:line="42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开户银行</w:t>
            </w:r>
          </w:p>
        </w:tc>
        <w:tc>
          <w:tcPr>
            <w:tcW w:w="5163" w:type="dxa"/>
            <w:noWrap w:val="0"/>
            <w:vAlign w:val="center"/>
          </w:tcPr>
          <w:p>
            <w:pPr>
              <w:spacing w:line="42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（具体到XX银行XX支行）</w:t>
            </w:r>
          </w:p>
        </w:tc>
        <w:tc>
          <w:tcPr>
            <w:tcW w:w="1179" w:type="dxa"/>
            <w:noWrap w:val="0"/>
            <w:vAlign w:val="center"/>
          </w:tcPr>
          <w:p>
            <w:pPr>
              <w:spacing w:line="42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固定电话</w:t>
            </w:r>
          </w:p>
        </w:tc>
        <w:tc>
          <w:tcPr>
            <w:tcW w:w="1665" w:type="dxa"/>
            <w:tcBorders>
              <w:right w:val="single" w:color="auto" w:sz="4" w:space="0"/>
            </w:tcBorders>
            <w:noWrap w:val="0"/>
            <w:vAlign w:val="center"/>
          </w:tcPr>
          <w:p>
            <w:pPr>
              <w:spacing w:line="420" w:lineRule="exact"/>
              <w:jc w:val="center"/>
              <w:rPr>
                <w:rFonts w:hint="eastAsia" w:ascii="华文宋体" w:hAnsi="华文宋体" w:eastAsia="华文宋体" w:cs="华文宋体"/>
                <w:color w:val="auto"/>
                <w:sz w:val="23"/>
                <w:szCs w:val="23"/>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662" w:type="dxa"/>
            <w:tcBorders>
              <w:left w:val="single" w:color="auto" w:sz="4" w:space="0"/>
            </w:tcBorders>
            <w:noWrap w:val="0"/>
            <w:vAlign w:val="center"/>
          </w:tcPr>
          <w:p>
            <w:pPr>
              <w:spacing w:line="42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账号</w:t>
            </w:r>
          </w:p>
        </w:tc>
        <w:tc>
          <w:tcPr>
            <w:tcW w:w="5163" w:type="dxa"/>
            <w:noWrap w:val="0"/>
            <w:vAlign w:val="center"/>
          </w:tcPr>
          <w:p>
            <w:pPr>
              <w:spacing w:line="420" w:lineRule="exact"/>
              <w:jc w:val="center"/>
              <w:rPr>
                <w:rFonts w:hint="eastAsia" w:ascii="华文宋体" w:hAnsi="华文宋体" w:eastAsia="华文宋体" w:cs="华文宋体"/>
                <w:color w:val="auto"/>
                <w:sz w:val="23"/>
                <w:szCs w:val="23"/>
                <w:highlight w:val="none"/>
              </w:rPr>
            </w:pPr>
          </w:p>
        </w:tc>
        <w:tc>
          <w:tcPr>
            <w:tcW w:w="1179" w:type="dxa"/>
            <w:noWrap w:val="0"/>
            <w:vAlign w:val="center"/>
          </w:tcPr>
          <w:p>
            <w:pPr>
              <w:spacing w:line="42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联系人</w:t>
            </w:r>
          </w:p>
        </w:tc>
        <w:tc>
          <w:tcPr>
            <w:tcW w:w="1665" w:type="dxa"/>
            <w:tcBorders>
              <w:right w:val="single" w:color="auto" w:sz="4" w:space="0"/>
            </w:tcBorders>
            <w:noWrap w:val="0"/>
            <w:vAlign w:val="center"/>
          </w:tcPr>
          <w:p>
            <w:pPr>
              <w:spacing w:line="420" w:lineRule="exact"/>
              <w:jc w:val="center"/>
              <w:rPr>
                <w:rFonts w:hint="eastAsia" w:ascii="华文宋体" w:hAnsi="华文宋体" w:eastAsia="华文宋体" w:cs="华文宋体"/>
                <w:color w:val="auto"/>
                <w:sz w:val="23"/>
                <w:szCs w:val="23"/>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9669" w:type="dxa"/>
            <w:gridSpan w:val="4"/>
            <w:tcBorders>
              <w:left w:val="single" w:color="auto" w:sz="4" w:space="0"/>
              <w:bottom w:val="single" w:color="auto" w:sz="4" w:space="0"/>
              <w:right w:val="single" w:color="auto" w:sz="4" w:space="0"/>
            </w:tcBorders>
            <w:noWrap w:val="0"/>
            <w:vAlign w:val="center"/>
          </w:tcPr>
          <w:p>
            <w:pPr>
              <w:spacing w:line="420" w:lineRule="exact"/>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附件：一般纳税人资格认定税务通知书或其他可证明具有该项资格证明文件的复印件。（加盖公章）</w:t>
            </w:r>
          </w:p>
        </w:tc>
      </w:tr>
    </w:tbl>
    <w:p>
      <w:pPr>
        <w:adjustRightInd w:val="0"/>
        <w:snapToGrid w:val="0"/>
        <w:spacing w:before="240" w:beforeLines="100" w:line="360" w:lineRule="auto"/>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递交竞争性磋商响应文件当日，如我公司未按该要求填写、未提供有效的开票资料、未确认开具发票类型或确认的发票类型有误，则视为开具增值税普通发票。同意广东公采招标有限公司不予更换发票类型。并愿承担由此引起的一切后果。</w:t>
      </w:r>
    </w:p>
    <w:p>
      <w:pPr>
        <w:rPr>
          <w:rFonts w:hint="eastAsia" w:ascii="华文宋体" w:hAnsi="华文宋体" w:eastAsia="华文宋体" w:cs="华文宋体"/>
          <w:color w:val="auto"/>
          <w:highlight w:val="none"/>
        </w:rPr>
      </w:pPr>
    </w:p>
    <w:p>
      <w:pPr>
        <w:pStyle w:val="2"/>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highlight w:val="none"/>
        </w:rPr>
      </w:pPr>
    </w:p>
    <w:p>
      <w:pPr>
        <w:adjustRightInd w:val="0"/>
        <w:snapToGrid w:val="0"/>
        <w:spacing w:line="480" w:lineRule="auto"/>
        <w:ind w:firstLine="3779" w:firstLineChars="1524"/>
        <w:rPr>
          <w:rFonts w:hint="eastAsia" w:ascii="华文宋体" w:hAnsi="华文宋体" w:eastAsia="华文宋体" w:cs="华文宋体"/>
          <w:color w:val="auto"/>
          <w:sz w:val="24"/>
          <w:highlight w:val="none"/>
          <w:u w:val="single"/>
        </w:rPr>
      </w:pPr>
      <w:r>
        <w:rPr>
          <w:rFonts w:hint="eastAsia" w:ascii="华文宋体" w:hAnsi="华文宋体" w:eastAsia="华文宋体" w:cs="华文宋体"/>
          <w:color w:val="auto"/>
          <w:spacing w:val="4"/>
          <w:sz w:val="24"/>
          <w:highlight w:val="none"/>
        </w:rPr>
        <w:t>供应商名称（公章）：</w:t>
      </w:r>
      <w:r>
        <w:rPr>
          <w:rFonts w:hint="eastAsia" w:ascii="华文宋体" w:hAnsi="华文宋体" w:eastAsia="华文宋体" w:cs="华文宋体"/>
          <w:color w:val="auto"/>
          <w:spacing w:val="4"/>
          <w:sz w:val="24"/>
          <w:highlight w:val="none"/>
          <w:u w:val="single"/>
        </w:rPr>
        <w:t xml:space="preserve">                         </w:t>
      </w:r>
    </w:p>
    <w:p>
      <w:pPr>
        <w:adjustRightInd w:val="0"/>
        <w:snapToGrid w:val="0"/>
        <w:spacing w:line="480" w:lineRule="auto"/>
        <w:ind w:firstLine="3779" w:firstLineChars="1524"/>
        <w:rPr>
          <w:rFonts w:hint="eastAsia" w:ascii="华文宋体" w:hAnsi="华文宋体" w:eastAsia="华文宋体" w:cs="华文宋体"/>
          <w:color w:val="auto"/>
          <w:spacing w:val="4"/>
          <w:sz w:val="24"/>
          <w:highlight w:val="none"/>
          <w:u w:val="single"/>
        </w:rPr>
      </w:pPr>
      <w:r>
        <w:rPr>
          <w:rFonts w:hint="eastAsia" w:ascii="华文宋体" w:hAnsi="华文宋体" w:eastAsia="华文宋体" w:cs="华文宋体"/>
          <w:color w:val="auto"/>
          <w:spacing w:val="4"/>
          <w:sz w:val="24"/>
          <w:highlight w:val="none"/>
        </w:rPr>
        <w:t>法定代表人或其授权代表（签名）：</w:t>
      </w:r>
      <w:r>
        <w:rPr>
          <w:rFonts w:hint="eastAsia" w:ascii="华文宋体" w:hAnsi="华文宋体" w:eastAsia="华文宋体" w:cs="华文宋体"/>
          <w:color w:val="auto"/>
          <w:spacing w:val="4"/>
          <w:sz w:val="24"/>
          <w:highlight w:val="none"/>
          <w:u w:val="single"/>
        </w:rPr>
        <w:t xml:space="preserve">             </w:t>
      </w:r>
    </w:p>
    <w:p>
      <w:pPr>
        <w:adjustRightInd w:val="0"/>
        <w:snapToGrid w:val="0"/>
        <w:spacing w:line="480" w:lineRule="auto"/>
        <w:ind w:firstLine="3779" w:firstLineChars="1524"/>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日期：</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年</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月</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日</w:t>
      </w:r>
    </w:p>
    <w:p>
      <w:pPr>
        <w:adjustRightInd w:val="0"/>
        <w:snapToGrid w:val="0"/>
        <w:spacing w:line="480" w:lineRule="auto"/>
        <w:ind w:firstLine="3779" w:firstLineChars="1524"/>
        <w:rPr>
          <w:rFonts w:hint="eastAsia" w:ascii="华文宋体" w:hAnsi="华文宋体" w:eastAsia="华文宋体" w:cs="华文宋体"/>
          <w:color w:val="auto"/>
          <w:spacing w:val="4"/>
          <w:sz w:val="24"/>
          <w:highlight w:val="none"/>
        </w:rPr>
      </w:pPr>
    </w:p>
    <w:p>
      <w:pPr>
        <w:pStyle w:val="47"/>
        <w:rPr>
          <w:rFonts w:hint="eastAsia" w:ascii="华文宋体" w:hAnsi="华文宋体" w:eastAsia="华文宋体" w:cs="华文宋体"/>
          <w:color w:val="auto"/>
          <w:sz w:val="44"/>
          <w:szCs w:val="44"/>
          <w:highlight w:val="none"/>
        </w:rPr>
      </w:pPr>
    </w:p>
    <w:p>
      <w:pPr>
        <w:pStyle w:val="47"/>
        <w:rPr>
          <w:rFonts w:hint="eastAsia" w:ascii="华文宋体" w:hAnsi="华文宋体" w:eastAsia="华文宋体" w:cs="华文宋体"/>
          <w:color w:val="auto"/>
          <w:sz w:val="44"/>
          <w:szCs w:val="44"/>
          <w:highlight w:val="none"/>
        </w:rPr>
      </w:pPr>
    </w:p>
    <w:p>
      <w:pPr>
        <w:pStyle w:val="47"/>
        <w:rPr>
          <w:rFonts w:hint="eastAsia" w:ascii="华文宋体" w:hAnsi="华文宋体" w:eastAsia="华文宋体" w:cs="华文宋体"/>
          <w:color w:val="auto"/>
          <w:sz w:val="44"/>
          <w:szCs w:val="44"/>
          <w:highlight w:val="none"/>
        </w:rPr>
      </w:pPr>
    </w:p>
    <w:p>
      <w:pPr>
        <w:pStyle w:val="47"/>
        <w:rPr>
          <w:rFonts w:hint="eastAsia" w:ascii="华文宋体" w:hAnsi="华文宋体" w:eastAsia="华文宋体" w:cs="华文宋体"/>
          <w:color w:val="auto"/>
          <w:sz w:val="44"/>
          <w:szCs w:val="44"/>
          <w:highlight w:val="none"/>
        </w:rPr>
      </w:pPr>
    </w:p>
    <w:p>
      <w:pPr>
        <w:pStyle w:val="47"/>
        <w:rPr>
          <w:rFonts w:hint="eastAsia" w:ascii="华文宋体" w:hAnsi="华文宋体" w:eastAsia="华文宋体" w:cs="华文宋体"/>
          <w:color w:val="auto"/>
          <w:sz w:val="44"/>
          <w:szCs w:val="44"/>
          <w:highlight w:val="none"/>
        </w:rPr>
      </w:pPr>
    </w:p>
    <w:p>
      <w:pPr>
        <w:tabs>
          <w:tab w:val="left" w:pos="720"/>
        </w:tabs>
        <w:jc w:val="center"/>
        <w:rPr>
          <w:rFonts w:hint="eastAsia" w:ascii="华文宋体" w:hAnsi="华文宋体" w:eastAsia="华文宋体" w:cs="华文宋体"/>
          <w:color w:val="auto"/>
          <w:sz w:val="44"/>
          <w:szCs w:val="44"/>
          <w:highlight w:val="none"/>
        </w:rPr>
      </w:pPr>
    </w:p>
    <w:p>
      <w:pPr>
        <w:pStyle w:val="6"/>
        <w:tabs>
          <w:tab w:val="left" w:pos="720"/>
          <w:tab w:val="clear" w:pos="851"/>
        </w:tabs>
        <w:jc w:val="center"/>
        <w:rPr>
          <w:rFonts w:hint="eastAsia" w:ascii="华文宋体" w:hAnsi="华文宋体" w:eastAsia="华文宋体" w:cs="华文宋体"/>
          <w:b/>
          <w:bCs/>
          <w:color w:val="auto"/>
          <w:sz w:val="44"/>
          <w:szCs w:val="44"/>
          <w:highlight w:val="none"/>
        </w:rPr>
      </w:pPr>
      <w:bookmarkStart w:id="180" w:name="_Toc11116"/>
      <w:bookmarkStart w:id="181" w:name="_Toc5451"/>
      <w:r>
        <w:rPr>
          <w:rFonts w:hint="eastAsia" w:ascii="华文宋体" w:hAnsi="华文宋体" w:eastAsia="华文宋体" w:cs="华文宋体"/>
          <w:b/>
          <w:bCs/>
          <w:color w:val="auto"/>
          <w:sz w:val="44"/>
          <w:szCs w:val="44"/>
          <w:highlight w:val="none"/>
        </w:rPr>
        <w:t>（二）商务文件</w:t>
      </w:r>
      <w:bookmarkEnd w:id="180"/>
      <w:bookmarkEnd w:id="181"/>
    </w:p>
    <w:p>
      <w:pPr>
        <w:rPr>
          <w:rFonts w:hint="eastAsia" w:ascii="华文宋体" w:hAnsi="华文宋体" w:eastAsia="华文宋体" w:cs="华文宋体"/>
          <w:b/>
          <w:bCs/>
          <w:color w:val="auto"/>
          <w:szCs w:val="21"/>
          <w:highlight w:val="none"/>
        </w:rPr>
        <w:sectPr>
          <w:footerReference r:id="rId10" w:type="default"/>
          <w:pgSz w:w="11906" w:h="16838"/>
          <w:pgMar w:top="1610" w:right="1293" w:bottom="1553" w:left="1349" w:header="850"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华文宋体" w:hAnsi="华文宋体" w:eastAsia="华文宋体" w:cs="华文宋体"/>
          <w:b/>
          <w:color w:val="auto"/>
          <w:sz w:val="32"/>
          <w:szCs w:val="32"/>
          <w:highlight w:val="none"/>
        </w:rPr>
      </w:pPr>
      <w:r>
        <w:rPr>
          <w:rFonts w:hint="eastAsia" w:ascii="华文宋体" w:hAnsi="华文宋体" w:eastAsia="华文宋体" w:cs="华文宋体"/>
          <w:b/>
          <w:color w:val="auto"/>
          <w:sz w:val="32"/>
          <w:szCs w:val="32"/>
          <w:highlight w:val="none"/>
        </w:rPr>
        <w:t>商务评审自查表</w:t>
      </w:r>
    </w:p>
    <w:tbl>
      <w:tblPr>
        <w:tblStyle w:val="30"/>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8"/>
        <w:gridCol w:w="1713"/>
        <w:gridCol w:w="547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blHeader/>
        </w:trPr>
        <w:tc>
          <w:tcPr>
            <w:tcW w:w="658" w:type="dxa"/>
            <w:shd w:val="clear" w:color="auto" w:fill="D7D7D7"/>
            <w:noWrap w:val="0"/>
            <w:tcMar>
              <w:top w:w="57" w:type="dxa"/>
              <w:left w:w="57" w:type="dxa"/>
              <w:bottom w:w="57" w:type="dxa"/>
              <w:right w:w="57" w:type="dxa"/>
            </w:tcMar>
            <w:vAlign w:val="center"/>
          </w:tcPr>
          <w:p>
            <w:pPr>
              <w:spacing w:line="3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序号</w:t>
            </w:r>
          </w:p>
        </w:tc>
        <w:tc>
          <w:tcPr>
            <w:tcW w:w="1713" w:type="dxa"/>
            <w:shd w:val="clear" w:color="auto" w:fill="D7D7D7"/>
            <w:noWrap w:val="0"/>
            <w:tcMar>
              <w:top w:w="57" w:type="dxa"/>
              <w:left w:w="57" w:type="dxa"/>
              <w:bottom w:w="57" w:type="dxa"/>
              <w:right w:w="57" w:type="dxa"/>
            </w:tcMar>
            <w:vAlign w:val="center"/>
          </w:tcPr>
          <w:p>
            <w:pPr>
              <w:spacing w:line="360" w:lineRule="exact"/>
              <w:ind w:left="0" w:leftChars="0" w:right="0" w:rightChars="0" w:firstLine="0" w:firstLineChars="0"/>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商务评审内容</w:t>
            </w:r>
          </w:p>
        </w:tc>
        <w:tc>
          <w:tcPr>
            <w:tcW w:w="5474" w:type="dxa"/>
            <w:shd w:val="clear" w:color="auto" w:fill="D7D7D7"/>
            <w:noWrap w:val="0"/>
            <w:tcMar>
              <w:top w:w="57" w:type="dxa"/>
              <w:left w:w="57" w:type="dxa"/>
              <w:bottom w:w="57" w:type="dxa"/>
              <w:right w:w="57" w:type="dxa"/>
            </w:tcMar>
            <w:vAlign w:val="center"/>
          </w:tcPr>
          <w:p>
            <w:pPr>
              <w:spacing w:line="3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评分细则</w:t>
            </w:r>
          </w:p>
        </w:tc>
        <w:tc>
          <w:tcPr>
            <w:tcW w:w="1374" w:type="dxa"/>
            <w:shd w:val="clear" w:color="auto" w:fill="D7D7D7"/>
            <w:noWrap w:val="0"/>
            <w:tcMar>
              <w:top w:w="57" w:type="dxa"/>
              <w:left w:w="57" w:type="dxa"/>
              <w:bottom w:w="57" w:type="dxa"/>
              <w:right w:w="57" w:type="dxa"/>
            </w:tcMar>
            <w:vAlign w:val="center"/>
          </w:tcPr>
          <w:p>
            <w:pPr>
              <w:spacing w:line="36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8" w:type="dxa"/>
            <w:noWrap w:val="0"/>
            <w:tcMar>
              <w:top w:w="57" w:type="dxa"/>
              <w:left w:w="57" w:type="dxa"/>
              <w:bottom w:w="57" w:type="dxa"/>
              <w:right w:w="57" w:type="dxa"/>
            </w:tcMar>
            <w:vAlign w:val="center"/>
          </w:tcPr>
          <w:p>
            <w:pPr>
              <w:keepNext w:val="0"/>
              <w:keepLines w:val="0"/>
              <w:pageBreakBefore w:val="0"/>
              <w:numPr>
                <w:ilvl w:val="0"/>
                <w:numId w:val="148"/>
              </w:numPr>
              <w:kinsoku/>
              <w:wordWrap/>
              <w:overflowPunct/>
              <w:topLinePunct w:val="0"/>
              <w:autoSpaceDE/>
              <w:autoSpaceDN/>
              <w:bidi w:val="0"/>
              <w:adjustRightInd/>
              <w:snapToGrid/>
              <w:spacing w:line="340" w:lineRule="exact"/>
              <w:jc w:val="center"/>
              <w:textAlignment w:val="auto"/>
              <w:rPr>
                <w:rFonts w:hint="eastAsia" w:ascii="华文宋体" w:hAnsi="华文宋体" w:eastAsia="华文宋体" w:cs="华文宋体"/>
                <w:color w:val="auto"/>
                <w:sz w:val="23"/>
                <w:szCs w:val="23"/>
                <w:highlight w:val="none"/>
              </w:rPr>
            </w:pPr>
          </w:p>
        </w:tc>
        <w:tc>
          <w:tcPr>
            <w:tcW w:w="1713" w:type="dxa"/>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同类项目经验</w:t>
            </w:r>
          </w:p>
        </w:tc>
        <w:tc>
          <w:tcPr>
            <w:tcW w:w="5474" w:type="dxa"/>
            <w:noWrap w:val="0"/>
            <w:tcMar>
              <w:top w:w="57" w:type="dxa"/>
              <w:left w:w="57" w:type="dxa"/>
              <w:bottom w:w="57" w:type="dxa"/>
              <w:right w:w="57" w:type="dxa"/>
            </w:tcMar>
            <w:vAlign w:val="top"/>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2019年1月1日至今已完成的同类消防车维修项目业绩，每提供一份得1分，最高得8分；无或其他情况得0分。</w:t>
            </w:r>
          </w:p>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注：响应供应商提供合同关键页【含签订合同双方的单位名称、合同项目名称、项目金额与含签订合同双方的落款盖章、签订日期的关键页】复印件。</w:t>
            </w:r>
          </w:p>
        </w:tc>
        <w:tc>
          <w:tcPr>
            <w:tcW w:w="1374" w:type="dxa"/>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8" w:type="dxa"/>
            <w:noWrap w:val="0"/>
            <w:tcMar>
              <w:top w:w="57" w:type="dxa"/>
              <w:left w:w="57" w:type="dxa"/>
              <w:bottom w:w="57" w:type="dxa"/>
              <w:right w:w="57" w:type="dxa"/>
            </w:tcMar>
            <w:vAlign w:val="center"/>
          </w:tcPr>
          <w:p>
            <w:pPr>
              <w:keepNext w:val="0"/>
              <w:keepLines w:val="0"/>
              <w:pageBreakBefore w:val="0"/>
              <w:numPr>
                <w:ilvl w:val="0"/>
                <w:numId w:val="148"/>
              </w:numPr>
              <w:kinsoku/>
              <w:wordWrap/>
              <w:overflowPunct/>
              <w:topLinePunct w:val="0"/>
              <w:autoSpaceDE/>
              <w:autoSpaceDN/>
              <w:bidi w:val="0"/>
              <w:adjustRightInd/>
              <w:snapToGrid/>
              <w:spacing w:line="340" w:lineRule="exact"/>
              <w:jc w:val="center"/>
              <w:textAlignment w:val="auto"/>
              <w:rPr>
                <w:rFonts w:hint="eastAsia" w:ascii="华文宋体" w:hAnsi="华文宋体" w:eastAsia="华文宋体" w:cs="华文宋体"/>
                <w:color w:val="auto"/>
                <w:sz w:val="23"/>
                <w:szCs w:val="23"/>
                <w:highlight w:val="none"/>
              </w:rPr>
            </w:pPr>
          </w:p>
        </w:tc>
        <w:tc>
          <w:tcPr>
            <w:tcW w:w="1713" w:type="dxa"/>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客户反馈意见</w:t>
            </w:r>
          </w:p>
        </w:tc>
        <w:tc>
          <w:tcPr>
            <w:tcW w:w="5474" w:type="dxa"/>
            <w:noWrap w:val="0"/>
            <w:tcMar>
              <w:top w:w="57" w:type="dxa"/>
              <w:left w:w="57" w:type="dxa"/>
              <w:bottom w:w="57" w:type="dxa"/>
              <w:right w:w="57" w:type="dxa"/>
            </w:tcMar>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响应供应商提供客户对车辆维修保养的反馈意见，并且客户评价结果为“满意”或“优”或对响应供应商的工作予以肯定的，或评委认可的类似好评的反馈意见，每一份得1分，最高得8分；无或其他情况得0分。</w:t>
            </w:r>
          </w:p>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【注：须提供客户单位的评价证明，格式自拟】</w:t>
            </w:r>
          </w:p>
        </w:tc>
        <w:tc>
          <w:tcPr>
            <w:tcW w:w="1374" w:type="dxa"/>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8" w:type="dxa"/>
            <w:noWrap w:val="0"/>
            <w:tcMar>
              <w:top w:w="57" w:type="dxa"/>
              <w:left w:w="57" w:type="dxa"/>
              <w:bottom w:w="57" w:type="dxa"/>
              <w:right w:w="57" w:type="dxa"/>
            </w:tcMar>
            <w:vAlign w:val="center"/>
          </w:tcPr>
          <w:p>
            <w:pPr>
              <w:keepNext w:val="0"/>
              <w:keepLines w:val="0"/>
              <w:pageBreakBefore w:val="0"/>
              <w:numPr>
                <w:ilvl w:val="0"/>
                <w:numId w:val="148"/>
              </w:numPr>
              <w:kinsoku/>
              <w:wordWrap/>
              <w:overflowPunct/>
              <w:topLinePunct w:val="0"/>
              <w:autoSpaceDE/>
              <w:autoSpaceDN/>
              <w:bidi w:val="0"/>
              <w:adjustRightInd/>
              <w:snapToGrid/>
              <w:spacing w:line="340" w:lineRule="exact"/>
              <w:jc w:val="center"/>
              <w:textAlignment w:val="auto"/>
              <w:rPr>
                <w:rFonts w:hint="eastAsia" w:ascii="华文宋体" w:hAnsi="华文宋体" w:eastAsia="华文宋体" w:cs="华文宋体"/>
                <w:color w:val="auto"/>
                <w:sz w:val="23"/>
                <w:szCs w:val="23"/>
                <w:highlight w:val="none"/>
              </w:rPr>
            </w:pPr>
          </w:p>
        </w:tc>
        <w:tc>
          <w:tcPr>
            <w:tcW w:w="1713" w:type="dxa"/>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项目服务人员资格</w:t>
            </w:r>
          </w:p>
        </w:tc>
        <w:tc>
          <w:tcPr>
            <w:tcW w:w="5474" w:type="dxa"/>
            <w:noWrap w:val="0"/>
            <w:tcMar>
              <w:top w:w="57" w:type="dxa"/>
              <w:left w:w="57" w:type="dxa"/>
              <w:bottom w:w="57" w:type="dxa"/>
              <w:right w:w="57" w:type="dxa"/>
            </w:tcMar>
            <w:vAlign w:val="top"/>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投入本项目的维修人员，每提供一个高级技师（即国家职业资格一级）汽车维修工证得1.5分；每提供一个高级（国家职业资格三级）汽车维修工证或技师（国家职业资格二级）汽车维修工证得1分。本项最高得8分。</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【注：提供①资格证书复印件与②响应供应商单位签订的劳务合同复印件，未提供或提供不全不得分】</w:t>
            </w:r>
          </w:p>
        </w:tc>
        <w:tc>
          <w:tcPr>
            <w:tcW w:w="1374" w:type="dxa"/>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8" w:type="dxa"/>
            <w:noWrap w:val="0"/>
            <w:tcMar>
              <w:top w:w="57" w:type="dxa"/>
              <w:left w:w="57" w:type="dxa"/>
              <w:bottom w:w="57" w:type="dxa"/>
              <w:right w:w="57" w:type="dxa"/>
            </w:tcMar>
            <w:vAlign w:val="center"/>
          </w:tcPr>
          <w:p>
            <w:pPr>
              <w:keepNext w:val="0"/>
              <w:keepLines w:val="0"/>
              <w:pageBreakBefore w:val="0"/>
              <w:numPr>
                <w:ilvl w:val="0"/>
                <w:numId w:val="148"/>
              </w:numPr>
              <w:kinsoku/>
              <w:wordWrap/>
              <w:overflowPunct/>
              <w:topLinePunct w:val="0"/>
              <w:autoSpaceDE/>
              <w:autoSpaceDN/>
              <w:bidi w:val="0"/>
              <w:adjustRightInd/>
              <w:snapToGrid/>
              <w:spacing w:line="340" w:lineRule="exact"/>
              <w:jc w:val="center"/>
              <w:textAlignment w:val="auto"/>
              <w:rPr>
                <w:rFonts w:hint="eastAsia" w:ascii="华文宋体" w:hAnsi="华文宋体" w:eastAsia="华文宋体" w:cs="华文宋体"/>
                <w:color w:val="auto"/>
                <w:sz w:val="23"/>
                <w:szCs w:val="23"/>
                <w:highlight w:val="none"/>
              </w:rPr>
            </w:pPr>
          </w:p>
        </w:tc>
        <w:tc>
          <w:tcPr>
            <w:tcW w:w="1713" w:type="dxa"/>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投入人员证书</w:t>
            </w:r>
          </w:p>
        </w:tc>
        <w:tc>
          <w:tcPr>
            <w:tcW w:w="5474" w:type="dxa"/>
            <w:noWrap w:val="0"/>
            <w:tcMar>
              <w:top w:w="57" w:type="dxa"/>
              <w:left w:w="57" w:type="dxa"/>
              <w:bottom w:w="57" w:type="dxa"/>
              <w:right w:w="57" w:type="dxa"/>
            </w:tcMar>
            <w:vAlign w:val="top"/>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响应供应商拟投入本项目的人员参加过安全生产教育，通过企业班组长岗位安全知识考试合格并且获得相关机构颁发的证书得4分。</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bCs/>
                <w:color w:val="auto"/>
                <w:sz w:val="23"/>
                <w:szCs w:val="23"/>
                <w:highlight w:val="none"/>
              </w:rPr>
              <w:t>【注：提供</w:t>
            </w:r>
            <w:r>
              <w:rPr>
                <w:rFonts w:hint="eastAsia" w:ascii="华文宋体" w:hAnsi="华文宋体" w:eastAsia="华文宋体" w:cs="华文宋体"/>
                <w:color w:val="auto"/>
                <w:sz w:val="23"/>
                <w:szCs w:val="23"/>
                <w:highlight w:val="none"/>
              </w:rPr>
              <w:t>相关证书复印件及劳务合同复印件，未提供或提供不全不得分</w:t>
            </w:r>
            <w:r>
              <w:rPr>
                <w:rFonts w:hint="eastAsia" w:ascii="华文宋体" w:hAnsi="华文宋体" w:eastAsia="华文宋体" w:cs="华文宋体"/>
                <w:bCs/>
                <w:color w:val="auto"/>
                <w:sz w:val="23"/>
                <w:szCs w:val="23"/>
                <w:highlight w:val="none"/>
              </w:rPr>
              <w:t>】</w:t>
            </w:r>
          </w:p>
        </w:tc>
        <w:tc>
          <w:tcPr>
            <w:tcW w:w="1374" w:type="dxa"/>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8" w:type="dxa"/>
            <w:noWrap w:val="0"/>
            <w:tcMar>
              <w:top w:w="57" w:type="dxa"/>
              <w:left w:w="57" w:type="dxa"/>
              <w:bottom w:w="57" w:type="dxa"/>
              <w:right w:w="57" w:type="dxa"/>
            </w:tcMar>
            <w:vAlign w:val="center"/>
          </w:tcPr>
          <w:p>
            <w:pPr>
              <w:keepNext w:val="0"/>
              <w:keepLines w:val="0"/>
              <w:pageBreakBefore w:val="0"/>
              <w:numPr>
                <w:ilvl w:val="0"/>
                <w:numId w:val="148"/>
              </w:numPr>
              <w:kinsoku/>
              <w:wordWrap/>
              <w:overflowPunct/>
              <w:topLinePunct w:val="0"/>
              <w:autoSpaceDE/>
              <w:autoSpaceDN/>
              <w:bidi w:val="0"/>
              <w:adjustRightInd/>
              <w:snapToGrid/>
              <w:spacing w:line="340" w:lineRule="exact"/>
              <w:jc w:val="center"/>
              <w:textAlignment w:val="auto"/>
              <w:rPr>
                <w:rFonts w:hint="eastAsia" w:ascii="华文宋体" w:hAnsi="华文宋体" w:eastAsia="华文宋体" w:cs="华文宋体"/>
                <w:color w:val="auto"/>
                <w:sz w:val="23"/>
                <w:szCs w:val="23"/>
                <w:highlight w:val="none"/>
              </w:rPr>
            </w:pPr>
          </w:p>
        </w:tc>
        <w:tc>
          <w:tcPr>
            <w:tcW w:w="1713" w:type="dxa"/>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车辆检修设备</w:t>
            </w:r>
          </w:p>
        </w:tc>
        <w:tc>
          <w:tcPr>
            <w:tcW w:w="5474" w:type="dxa"/>
            <w:noWrap w:val="0"/>
            <w:tcMar>
              <w:top w:w="57" w:type="dxa"/>
              <w:left w:w="57" w:type="dxa"/>
              <w:bottom w:w="57" w:type="dxa"/>
              <w:right w:w="57" w:type="dxa"/>
            </w:tcMar>
            <w:vAlign w:val="top"/>
          </w:tcPr>
          <w:p>
            <w:pPr>
              <w:keepNext w:val="0"/>
              <w:keepLines w:val="0"/>
              <w:pageBreakBefore w:val="0"/>
              <w:tabs>
                <w:tab w:val="left" w:pos="0"/>
              </w:tabs>
              <w:kinsoku/>
              <w:wordWrap/>
              <w:overflowPunct/>
              <w:topLinePunct w:val="0"/>
              <w:autoSpaceDE/>
              <w:autoSpaceDN/>
              <w:bidi w:val="0"/>
              <w:adjustRightInd/>
              <w:snapToGrid/>
              <w:spacing w:line="340" w:lineRule="exac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1、设施设备：压力机、折弯机、钻床、剪板机。</w:t>
            </w:r>
          </w:p>
          <w:p>
            <w:pPr>
              <w:keepNext w:val="0"/>
              <w:keepLines w:val="0"/>
              <w:pageBreakBefore w:val="0"/>
              <w:tabs>
                <w:tab w:val="left" w:pos="0"/>
              </w:tabs>
              <w:kinsoku/>
              <w:wordWrap/>
              <w:overflowPunct/>
              <w:topLinePunct w:val="0"/>
              <w:autoSpaceDE/>
              <w:autoSpaceDN/>
              <w:bidi w:val="0"/>
              <w:adjustRightInd/>
              <w:snapToGrid/>
              <w:spacing w:line="340" w:lineRule="exac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2、消防上装专用检测设备：液压试验设备、超声波水流量检测仪、消防栓出水压力检测设备。</w:t>
            </w:r>
          </w:p>
          <w:p>
            <w:pPr>
              <w:keepNext w:val="0"/>
              <w:keepLines w:val="0"/>
              <w:pageBreakBefore w:val="0"/>
              <w:tabs>
                <w:tab w:val="left" w:pos="0"/>
              </w:tabs>
              <w:kinsoku/>
              <w:wordWrap/>
              <w:overflowPunct/>
              <w:topLinePunct w:val="0"/>
              <w:autoSpaceDE/>
              <w:autoSpaceDN/>
              <w:bidi w:val="0"/>
              <w:adjustRightInd/>
              <w:snapToGrid/>
              <w:spacing w:line="340" w:lineRule="exac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3、车辆电脑检测仪。</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【注:</w:t>
            </w:r>
            <w:r>
              <w:rPr>
                <w:rFonts w:hint="eastAsia" w:ascii="华文宋体" w:hAnsi="华文宋体" w:cs="华文宋体"/>
                <w:color w:val="auto"/>
                <w:sz w:val="23"/>
                <w:szCs w:val="23"/>
                <w:highlight w:val="none"/>
                <w:lang w:val="en-US" w:eastAsia="zh-CN"/>
              </w:rPr>
              <w:t xml:space="preserve"> </w:t>
            </w:r>
            <w:r>
              <w:rPr>
                <w:rFonts w:hint="eastAsia" w:ascii="华文宋体" w:hAnsi="华文宋体" w:eastAsia="华文宋体" w:cs="华文宋体"/>
                <w:color w:val="auto"/>
                <w:sz w:val="23"/>
                <w:szCs w:val="23"/>
                <w:highlight w:val="none"/>
              </w:rPr>
              <w:t>根据响应供应商是否具备以上车辆检修设备进行评分，需提供设备发票复印件及设备照片作为评审依据。上述仪器设备种类齐全得满分，每缺少一种设备扣1.5分，扣至0分为止，未提供或提供不全的不得分】</w:t>
            </w:r>
          </w:p>
        </w:tc>
        <w:tc>
          <w:tcPr>
            <w:tcW w:w="1374" w:type="dxa"/>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华文宋体" w:hAnsi="华文宋体" w:eastAsia="华文宋体" w:cs="华文宋体"/>
                <w:color w:val="auto"/>
                <w:sz w:val="23"/>
                <w:szCs w:val="23"/>
                <w:highlight w:val="none"/>
              </w:rPr>
            </w:pPr>
          </w:p>
        </w:tc>
      </w:tr>
    </w:tbl>
    <w:p>
      <w:pPr>
        <w:rPr>
          <w:rFonts w:hint="eastAsia" w:ascii="华文宋体" w:hAnsi="华文宋体" w:eastAsia="华文宋体" w:cs="华文宋体"/>
          <w:bCs/>
          <w:color w:val="auto"/>
          <w:szCs w:val="21"/>
          <w:highlight w:val="none"/>
        </w:rPr>
      </w:pPr>
    </w:p>
    <w:p>
      <w:pPr>
        <w:jc w:val="center"/>
        <w:rPr>
          <w:rFonts w:hint="eastAsia" w:ascii="华文宋体" w:hAnsi="华文宋体" w:eastAsia="华文宋体" w:cs="华文宋体"/>
          <w:b/>
          <w:color w:val="auto"/>
          <w:sz w:val="32"/>
          <w:szCs w:val="32"/>
          <w:highlight w:val="none"/>
        </w:rPr>
      </w:pPr>
      <w:r>
        <w:rPr>
          <w:rFonts w:hint="eastAsia" w:ascii="华文宋体" w:hAnsi="华文宋体" w:eastAsia="华文宋体" w:cs="华文宋体"/>
          <w:b/>
          <w:color w:val="auto"/>
          <w:sz w:val="32"/>
          <w:szCs w:val="32"/>
          <w:highlight w:val="none"/>
        </w:rPr>
        <w:t>供应商概况</w:t>
      </w:r>
    </w:p>
    <w:p>
      <w:pPr>
        <w:spacing w:line="360" w:lineRule="auto"/>
        <w:jc w:val="center"/>
        <w:rPr>
          <w:rFonts w:hint="eastAsia" w:ascii="华文宋体" w:hAnsi="华文宋体" w:eastAsia="华文宋体" w:cs="华文宋体"/>
          <w:b/>
          <w:color w:val="auto"/>
          <w:sz w:val="15"/>
          <w:szCs w:val="15"/>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099"/>
        <w:gridCol w:w="1455"/>
        <w:gridCol w:w="694"/>
        <w:gridCol w:w="551"/>
        <w:gridCol w:w="712"/>
        <w:gridCol w:w="911"/>
        <w:gridCol w:w="622"/>
        <w:gridCol w:w="653"/>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5" w:type="dxa"/>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单位名称</w:t>
            </w:r>
          </w:p>
        </w:tc>
        <w:tc>
          <w:tcPr>
            <w:tcW w:w="8226" w:type="dxa"/>
            <w:gridSpan w:val="9"/>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地址</w:t>
            </w:r>
          </w:p>
        </w:tc>
        <w:tc>
          <w:tcPr>
            <w:tcW w:w="8226" w:type="dxa"/>
            <w:gridSpan w:val="9"/>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主管部门</w:t>
            </w:r>
          </w:p>
        </w:tc>
        <w:tc>
          <w:tcPr>
            <w:tcW w:w="3248" w:type="dxa"/>
            <w:gridSpan w:val="3"/>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263" w:type="dxa"/>
            <w:gridSpan w:val="2"/>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法人代表</w:t>
            </w:r>
          </w:p>
        </w:tc>
        <w:tc>
          <w:tcPr>
            <w:tcW w:w="1533" w:type="dxa"/>
            <w:gridSpan w:val="2"/>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653" w:type="dxa"/>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职务</w:t>
            </w:r>
          </w:p>
        </w:tc>
        <w:tc>
          <w:tcPr>
            <w:tcW w:w="1529" w:type="dxa"/>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经济类型</w:t>
            </w:r>
          </w:p>
        </w:tc>
        <w:tc>
          <w:tcPr>
            <w:tcW w:w="3248" w:type="dxa"/>
            <w:gridSpan w:val="3"/>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263" w:type="dxa"/>
            <w:gridSpan w:val="2"/>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授权代表</w:t>
            </w:r>
          </w:p>
        </w:tc>
        <w:tc>
          <w:tcPr>
            <w:tcW w:w="1533" w:type="dxa"/>
            <w:gridSpan w:val="2"/>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653" w:type="dxa"/>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职务</w:t>
            </w:r>
          </w:p>
        </w:tc>
        <w:tc>
          <w:tcPr>
            <w:tcW w:w="1529" w:type="dxa"/>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邮编</w:t>
            </w:r>
          </w:p>
        </w:tc>
        <w:tc>
          <w:tcPr>
            <w:tcW w:w="3248" w:type="dxa"/>
            <w:gridSpan w:val="3"/>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263" w:type="dxa"/>
            <w:gridSpan w:val="2"/>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电话</w:t>
            </w:r>
          </w:p>
        </w:tc>
        <w:tc>
          <w:tcPr>
            <w:tcW w:w="1533" w:type="dxa"/>
            <w:gridSpan w:val="2"/>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653" w:type="dxa"/>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传真</w:t>
            </w:r>
          </w:p>
        </w:tc>
        <w:tc>
          <w:tcPr>
            <w:tcW w:w="1529" w:type="dxa"/>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360" w:lineRule="exact"/>
              <w:ind w:left="-112" w:leftChars="-62" w:right="-90" w:rightChars="-50" w:firstLine="0"/>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单位简介及机构设置</w:t>
            </w:r>
          </w:p>
        </w:tc>
        <w:tc>
          <w:tcPr>
            <w:tcW w:w="8226" w:type="dxa"/>
            <w:gridSpan w:val="9"/>
            <w:noWrap w:val="0"/>
            <w:vAlign w:val="top"/>
          </w:tcPr>
          <w:p>
            <w:pPr>
              <w:keepNext w:val="0"/>
              <w:keepLines w:val="0"/>
              <w:pageBreakBefore w:val="0"/>
              <w:widowControl w:val="0"/>
              <w:tabs>
                <w:tab w:val="left" w:pos="540"/>
              </w:tabs>
              <w:kinsoku/>
              <w:wordWrap/>
              <w:overflowPunct/>
              <w:topLinePunct w:val="0"/>
              <w:autoSpaceDE/>
              <w:autoSpaceDN/>
              <w:bidi w:val="0"/>
              <w:adjustRightInd/>
              <w:snapToGrid/>
              <w:spacing w:line="360" w:lineRule="exact"/>
              <w:ind w:left="-113" w:leftChars="-63" w:right="-90" w:rightChars="-50" w:firstLine="0"/>
              <w:jc w:val="center"/>
              <w:textAlignment w:val="auto"/>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0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360" w:lineRule="exact"/>
              <w:ind w:left="-112" w:leftChars="-62" w:right="-90" w:rightChars="-50" w:firstLine="0"/>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单位优势及特长</w:t>
            </w:r>
          </w:p>
        </w:tc>
        <w:tc>
          <w:tcPr>
            <w:tcW w:w="8226" w:type="dxa"/>
            <w:gridSpan w:val="9"/>
            <w:noWrap w:val="0"/>
            <w:vAlign w:val="top"/>
          </w:tcPr>
          <w:p>
            <w:pPr>
              <w:keepNext w:val="0"/>
              <w:keepLines w:val="0"/>
              <w:pageBreakBefore w:val="0"/>
              <w:widowControl w:val="0"/>
              <w:tabs>
                <w:tab w:val="left" w:pos="540"/>
              </w:tabs>
              <w:kinsoku/>
              <w:wordWrap/>
              <w:overflowPunct/>
              <w:topLinePunct w:val="0"/>
              <w:autoSpaceDE/>
              <w:autoSpaceDN/>
              <w:bidi w:val="0"/>
              <w:adjustRightInd/>
              <w:snapToGrid/>
              <w:spacing w:line="360" w:lineRule="exact"/>
              <w:ind w:left="-113" w:leftChars="-63" w:right="-90" w:rightChars="-50" w:firstLine="0"/>
              <w:jc w:val="center"/>
              <w:textAlignment w:val="auto"/>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restart"/>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单位概况</w:t>
            </w:r>
          </w:p>
        </w:tc>
        <w:tc>
          <w:tcPr>
            <w:tcW w:w="1099" w:type="dxa"/>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注册资本</w:t>
            </w:r>
          </w:p>
        </w:tc>
        <w:tc>
          <w:tcPr>
            <w:tcW w:w="1455" w:type="dxa"/>
            <w:noWrap w:val="0"/>
            <w:vAlign w:val="top"/>
          </w:tcPr>
          <w:p>
            <w:pPr>
              <w:tabs>
                <w:tab w:val="left" w:pos="540"/>
              </w:tabs>
              <w:spacing w:line="440" w:lineRule="exact"/>
              <w:ind w:left="-111" w:leftChars="-63" w:right="-90" w:rightChars="-50" w:hanging="2"/>
              <w:jc w:val="right"/>
              <w:rPr>
                <w:rFonts w:hint="eastAsia" w:ascii="华文宋体" w:hAnsi="华文宋体" w:eastAsia="华文宋体" w:cs="华文宋体"/>
                <w:color w:val="auto"/>
                <w:sz w:val="23"/>
                <w:szCs w:val="23"/>
                <w:highlight w:val="none"/>
              </w:rPr>
            </w:pPr>
          </w:p>
        </w:tc>
        <w:tc>
          <w:tcPr>
            <w:tcW w:w="1245" w:type="dxa"/>
            <w:gridSpan w:val="2"/>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占地面积</w:t>
            </w:r>
          </w:p>
        </w:tc>
        <w:tc>
          <w:tcPr>
            <w:tcW w:w="4427" w:type="dxa"/>
            <w:gridSpan w:val="5"/>
            <w:noWrap w:val="0"/>
            <w:vAlign w:val="top"/>
          </w:tcPr>
          <w:p>
            <w:pPr>
              <w:tabs>
                <w:tab w:val="left" w:pos="540"/>
              </w:tabs>
              <w:spacing w:line="440" w:lineRule="exact"/>
              <w:ind w:left="-113" w:leftChars="-63" w:right="-90" w:rightChars="-50" w:firstLine="3335" w:firstLineChars="1450"/>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099" w:type="dxa"/>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职工总数</w:t>
            </w:r>
          </w:p>
        </w:tc>
        <w:tc>
          <w:tcPr>
            <w:tcW w:w="1455" w:type="dxa"/>
            <w:noWrap w:val="0"/>
            <w:vAlign w:val="top"/>
          </w:tcPr>
          <w:p>
            <w:pPr>
              <w:tabs>
                <w:tab w:val="left" w:pos="540"/>
              </w:tabs>
              <w:spacing w:line="440" w:lineRule="exact"/>
              <w:ind w:left="-111" w:leftChars="-63" w:right="-90" w:rightChars="-50" w:hanging="2"/>
              <w:jc w:val="right"/>
              <w:rPr>
                <w:rFonts w:hint="eastAsia" w:ascii="华文宋体" w:hAnsi="华文宋体" w:eastAsia="华文宋体" w:cs="华文宋体"/>
                <w:color w:val="auto"/>
                <w:sz w:val="23"/>
                <w:szCs w:val="23"/>
                <w:highlight w:val="none"/>
              </w:rPr>
            </w:pPr>
          </w:p>
        </w:tc>
        <w:tc>
          <w:tcPr>
            <w:tcW w:w="1245" w:type="dxa"/>
            <w:gridSpan w:val="2"/>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建筑面积</w:t>
            </w:r>
          </w:p>
        </w:tc>
        <w:tc>
          <w:tcPr>
            <w:tcW w:w="4427" w:type="dxa"/>
            <w:gridSpan w:val="5"/>
            <w:noWrap w:val="0"/>
            <w:vAlign w:val="top"/>
          </w:tcPr>
          <w:p>
            <w:pPr>
              <w:tabs>
                <w:tab w:val="left" w:pos="540"/>
              </w:tabs>
              <w:spacing w:line="440" w:lineRule="exact"/>
              <w:ind w:left="-113" w:leftChars="-63" w:right="-90" w:rightChars="-50" w:firstLine="3335" w:firstLineChars="1450"/>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099" w:type="dxa"/>
            <w:vMerge w:val="restart"/>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资产情况</w:t>
            </w:r>
          </w:p>
        </w:tc>
        <w:tc>
          <w:tcPr>
            <w:tcW w:w="1455" w:type="dxa"/>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净资产</w:t>
            </w:r>
          </w:p>
        </w:tc>
        <w:tc>
          <w:tcPr>
            <w:tcW w:w="1245" w:type="dxa"/>
            <w:gridSpan w:val="2"/>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623" w:type="dxa"/>
            <w:gridSpan w:val="2"/>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固定资产原值</w:t>
            </w:r>
          </w:p>
        </w:tc>
        <w:tc>
          <w:tcPr>
            <w:tcW w:w="2804" w:type="dxa"/>
            <w:gridSpan w:val="3"/>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099" w:type="dxa"/>
            <w:vMerge w:val="continue"/>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455" w:type="dxa"/>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负债</w:t>
            </w:r>
          </w:p>
        </w:tc>
        <w:tc>
          <w:tcPr>
            <w:tcW w:w="1245" w:type="dxa"/>
            <w:gridSpan w:val="2"/>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623" w:type="dxa"/>
            <w:gridSpan w:val="2"/>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固定资产净值</w:t>
            </w:r>
          </w:p>
        </w:tc>
        <w:tc>
          <w:tcPr>
            <w:tcW w:w="2804" w:type="dxa"/>
            <w:gridSpan w:val="3"/>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5" w:type="dxa"/>
            <w:vMerge w:val="restart"/>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财务状况</w:t>
            </w:r>
          </w:p>
        </w:tc>
        <w:tc>
          <w:tcPr>
            <w:tcW w:w="1099" w:type="dxa"/>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年度</w:t>
            </w:r>
          </w:p>
        </w:tc>
        <w:tc>
          <w:tcPr>
            <w:tcW w:w="1455" w:type="dxa"/>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主营收入</w:t>
            </w:r>
          </w:p>
        </w:tc>
        <w:tc>
          <w:tcPr>
            <w:tcW w:w="1245" w:type="dxa"/>
            <w:gridSpan w:val="2"/>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收入总额</w:t>
            </w:r>
          </w:p>
        </w:tc>
        <w:tc>
          <w:tcPr>
            <w:tcW w:w="1623" w:type="dxa"/>
            <w:gridSpan w:val="2"/>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利润总额</w:t>
            </w:r>
          </w:p>
        </w:tc>
        <w:tc>
          <w:tcPr>
            <w:tcW w:w="1275" w:type="dxa"/>
            <w:gridSpan w:val="2"/>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净利润</w:t>
            </w:r>
          </w:p>
        </w:tc>
        <w:tc>
          <w:tcPr>
            <w:tcW w:w="1529" w:type="dxa"/>
            <w:noWrap w:val="0"/>
            <w:vAlign w:val="center"/>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099" w:type="dxa"/>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455" w:type="dxa"/>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245" w:type="dxa"/>
            <w:gridSpan w:val="2"/>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623" w:type="dxa"/>
            <w:gridSpan w:val="2"/>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275" w:type="dxa"/>
            <w:gridSpan w:val="2"/>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529" w:type="dxa"/>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vMerge w:val="continue"/>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099" w:type="dxa"/>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455" w:type="dxa"/>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245" w:type="dxa"/>
            <w:gridSpan w:val="2"/>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623" w:type="dxa"/>
            <w:gridSpan w:val="2"/>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275" w:type="dxa"/>
            <w:gridSpan w:val="2"/>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529" w:type="dxa"/>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w:t>
            </w:r>
          </w:p>
        </w:tc>
        <w:tc>
          <w:tcPr>
            <w:tcW w:w="1099" w:type="dxa"/>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455" w:type="dxa"/>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245" w:type="dxa"/>
            <w:gridSpan w:val="2"/>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623" w:type="dxa"/>
            <w:gridSpan w:val="2"/>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275" w:type="dxa"/>
            <w:gridSpan w:val="2"/>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c>
          <w:tcPr>
            <w:tcW w:w="1529" w:type="dxa"/>
            <w:noWrap w:val="0"/>
            <w:vAlign w:val="top"/>
          </w:tcPr>
          <w:p>
            <w:pPr>
              <w:tabs>
                <w:tab w:val="left" w:pos="540"/>
              </w:tabs>
              <w:spacing w:line="440" w:lineRule="exact"/>
              <w:ind w:left="-111" w:leftChars="-63" w:right="-90" w:rightChars="-50" w:hanging="2"/>
              <w:jc w:val="center"/>
              <w:rPr>
                <w:rFonts w:hint="eastAsia" w:ascii="华文宋体" w:hAnsi="华文宋体" w:eastAsia="华文宋体" w:cs="华文宋体"/>
                <w:color w:val="auto"/>
                <w:sz w:val="23"/>
                <w:szCs w:val="23"/>
                <w:highlight w:val="none"/>
              </w:rPr>
            </w:pPr>
          </w:p>
        </w:tc>
      </w:tr>
    </w:tbl>
    <w:p>
      <w:pPr>
        <w:pStyle w:val="50"/>
        <w:spacing w:before="0" w:after="0" w:line="380" w:lineRule="exact"/>
        <w:ind w:left="430" w:leftChars="25" w:hanging="385" w:hangingChars="175"/>
        <w:rPr>
          <w:rFonts w:hint="eastAsia" w:ascii="华文宋体" w:hAnsi="华文宋体" w:eastAsia="华文宋体" w:cs="华文宋体"/>
          <w:bCs w:val="0"/>
          <w:color w:val="auto"/>
          <w:spacing w:val="0"/>
          <w:kern w:val="2"/>
          <w:sz w:val="22"/>
          <w:szCs w:val="22"/>
          <w:highlight w:val="none"/>
          <w:lang w:val="en-GB"/>
        </w:rPr>
      </w:pPr>
      <w:r>
        <w:rPr>
          <w:rFonts w:hint="eastAsia" w:ascii="华文宋体" w:hAnsi="华文宋体" w:eastAsia="华文宋体" w:cs="华文宋体"/>
          <w:bCs w:val="0"/>
          <w:color w:val="auto"/>
          <w:spacing w:val="0"/>
          <w:kern w:val="2"/>
          <w:sz w:val="22"/>
          <w:szCs w:val="22"/>
          <w:highlight w:val="none"/>
        </w:rPr>
        <w:t>备注</w:t>
      </w:r>
      <w:r>
        <w:rPr>
          <w:rFonts w:hint="eastAsia" w:ascii="华文宋体" w:hAnsi="华文宋体" w:eastAsia="华文宋体" w:cs="华文宋体"/>
          <w:bCs w:val="0"/>
          <w:color w:val="auto"/>
          <w:spacing w:val="0"/>
          <w:kern w:val="2"/>
          <w:sz w:val="22"/>
          <w:szCs w:val="22"/>
          <w:highlight w:val="none"/>
          <w:lang w:val="en-GB"/>
        </w:rPr>
        <w:t>：</w:t>
      </w:r>
    </w:p>
    <w:p>
      <w:pPr>
        <w:pStyle w:val="50"/>
        <w:numPr>
          <w:ilvl w:val="0"/>
          <w:numId w:val="149"/>
        </w:numPr>
        <w:spacing w:before="0" w:after="0" w:line="380" w:lineRule="exact"/>
        <w:ind w:left="255" w:hanging="255"/>
        <w:rPr>
          <w:rFonts w:hint="eastAsia" w:ascii="华文宋体" w:hAnsi="华文宋体" w:eastAsia="华文宋体" w:cs="华文宋体"/>
          <w:bCs w:val="0"/>
          <w:color w:val="auto"/>
          <w:spacing w:val="0"/>
          <w:kern w:val="2"/>
          <w:sz w:val="22"/>
          <w:szCs w:val="22"/>
          <w:highlight w:val="none"/>
          <w:lang w:val="en-GB"/>
        </w:rPr>
      </w:pPr>
      <w:r>
        <w:rPr>
          <w:rFonts w:hint="eastAsia" w:ascii="华文宋体" w:hAnsi="华文宋体" w:eastAsia="华文宋体" w:cs="华文宋体"/>
          <w:bCs w:val="0"/>
          <w:color w:val="auto"/>
          <w:spacing w:val="0"/>
          <w:kern w:val="2"/>
          <w:sz w:val="22"/>
          <w:szCs w:val="22"/>
          <w:highlight w:val="none"/>
        </w:rPr>
        <w:t>供应商</w:t>
      </w:r>
      <w:r>
        <w:rPr>
          <w:rFonts w:hint="eastAsia" w:ascii="华文宋体" w:hAnsi="华文宋体" w:eastAsia="华文宋体" w:cs="华文宋体"/>
          <w:bCs w:val="0"/>
          <w:color w:val="auto"/>
          <w:spacing w:val="0"/>
          <w:kern w:val="2"/>
          <w:sz w:val="22"/>
          <w:szCs w:val="22"/>
          <w:highlight w:val="none"/>
          <w:lang w:val="en-GB"/>
        </w:rPr>
        <w:t>必须如实填写，不得报送虚假材料或改动本表格式；</w:t>
      </w:r>
    </w:p>
    <w:p>
      <w:pPr>
        <w:pStyle w:val="50"/>
        <w:numPr>
          <w:ilvl w:val="0"/>
          <w:numId w:val="149"/>
        </w:numPr>
        <w:spacing w:before="0" w:after="0" w:line="380" w:lineRule="exact"/>
        <w:ind w:left="255" w:hanging="255"/>
        <w:rPr>
          <w:rFonts w:hint="eastAsia" w:ascii="华文宋体" w:hAnsi="华文宋体" w:eastAsia="华文宋体" w:cs="华文宋体"/>
          <w:bCs w:val="0"/>
          <w:color w:val="auto"/>
          <w:spacing w:val="0"/>
          <w:kern w:val="2"/>
          <w:sz w:val="22"/>
          <w:szCs w:val="22"/>
          <w:highlight w:val="none"/>
          <w:lang w:val="en-GB"/>
        </w:rPr>
      </w:pPr>
      <w:r>
        <w:rPr>
          <w:rFonts w:hint="eastAsia" w:ascii="华文宋体" w:hAnsi="华文宋体" w:eastAsia="华文宋体" w:cs="华文宋体"/>
          <w:bCs w:val="0"/>
          <w:color w:val="auto"/>
          <w:spacing w:val="0"/>
          <w:kern w:val="2"/>
          <w:sz w:val="22"/>
          <w:szCs w:val="22"/>
          <w:highlight w:val="none"/>
          <w:lang w:val="en-GB"/>
        </w:rPr>
        <w:t>财务相关数值单位默认为</w:t>
      </w:r>
      <w:r>
        <w:rPr>
          <w:rFonts w:hint="eastAsia" w:ascii="华文宋体" w:hAnsi="华文宋体" w:eastAsia="华文宋体" w:cs="华文宋体"/>
          <w:b/>
          <w:color w:val="auto"/>
          <w:spacing w:val="0"/>
          <w:kern w:val="2"/>
          <w:sz w:val="22"/>
          <w:szCs w:val="22"/>
          <w:highlight w:val="none"/>
          <w:lang w:val="en-GB"/>
        </w:rPr>
        <w:t>万元</w:t>
      </w:r>
      <w:r>
        <w:rPr>
          <w:rFonts w:hint="eastAsia" w:ascii="华文宋体" w:hAnsi="华文宋体" w:eastAsia="华文宋体" w:cs="华文宋体"/>
          <w:bCs w:val="0"/>
          <w:color w:val="auto"/>
          <w:spacing w:val="0"/>
          <w:kern w:val="2"/>
          <w:sz w:val="22"/>
          <w:szCs w:val="22"/>
          <w:highlight w:val="none"/>
        </w:rPr>
        <w:t>；</w:t>
      </w:r>
    </w:p>
    <w:p>
      <w:pPr>
        <w:pStyle w:val="50"/>
        <w:numPr>
          <w:ilvl w:val="0"/>
          <w:numId w:val="149"/>
        </w:numPr>
        <w:spacing w:before="0" w:after="0" w:line="380" w:lineRule="exact"/>
        <w:ind w:left="255" w:hanging="255"/>
        <w:rPr>
          <w:rFonts w:hint="eastAsia" w:ascii="华文宋体" w:hAnsi="华文宋体" w:eastAsia="华文宋体" w:cs="华文宋体"/>
          <w:bCs w:val="0"/>
          <w:color w:val="auto"/>
          <w:spacing w:val="0"/>
          <w:kern w:val="2"/>
          <w:sz w:val="22"/>
          <w:szCs w:val="22"/>
          <w:highlight w:val="none"/>
          <w:lang w:val="en-GB"/>
        </w:rPr>
      </w:pPr>
      <w:r>
        <w:rPr>
          <w:rFonts w:hint="eastAsia" w:ascii="华文宋体" w:hAnsi="华文宋体" w:eastAsia="华文宋体" w:cs="华文宋体"/>
          <w:bCs w:val="0"/>
          <w:color w:val="auto"/>
          <w:spacing w:val="0"/>
          <w:kern w:val="2"/>
          <w:sz w:val="22"/>
          <w:szCs w:val="22"/>
          <w:highlight w:val="none"/>
          <w:lang w:val="en-GB"/>
        </w:rPr>
        <w:t>可</w:t>
      </w:r>
      <w:r>
        <w:rPr>
          <w:rFonts w:hint="eastAsia" w:ascii="华文宋体" w:hAnsi="华文宋体" w:eastAsia="华文宋体" w:cs="华文宋体"/>
          <w:bCs w:val="0"/>
          <w:color w:val="auto"/>
          <w:spacing w:val="0"/>
          <w:kern w:val="2"/>
          <w:sz w:val="22"/>
          <w:szCs w:val="22"/>
          <w:highlight w:val="none"/>
        </w:rPr>
        <w:t>附上</w:t>
      </w:r>
      <w:r>
        <w:rPr>
          <w:rFonts w:hint="eastAsia" w:ascii="华文宋体" w:hAnsi="华文宋体" w:eastAsia="华文宋体" w:cs="华文宋体"/>
          <w:bCs w:val="0"/>
          <w:color w:val="auto"/>
          <w:spacing w:val="0"/>
          <w:kern w:val="2"/>
          <w:sz w:val="22"/>
          <w:szCs w:val="22"/>
          <w:highlight w:val="none"/>
          <w:lang w:val="en-GB"/>
        </w:rPr>
        <w:t>文字描述（</w:t>
      </w:r>
      <w:r>
        <w:rPr>
          <w:rFonts w:hint="eastAsia" w:ascii="华文宋体" w:hAnsi="华文宋体" w:eastAsia="华文宋体" w:cs="华文宋体"/>
          <w:bCs w:val="0"/>
          <w:color w:val="auto"/>
          <w:spacing w:val="0"/>
          <w:kern w:val="2"/>
          <w:sz w:val="22"/>
          <w:szCs w:val="22"/>
          <w:highlight w:val="none"/>
        </w:rPr>
        <w:t>例如</w:t>
      </w:r>
      <w:r>
        <w:rPr>
          <w:rFonts w:hint="eastAsia" w:ascii="华文宋体" w:hAnsi="华文宋体" w:eastAsia="华文宋体" w:cs="华文宋体"/>
          <w:bCs w:val="0"/>
          <w:color w:val="auto"/>
          <w:spacing w:val="0"/>
          <w:kern w:val="2"/>
          <w:sz w:val="22"/>
          <w:szCs w:val="22"/>
          <w:highlight w:val="none"/>
          <w:lang w:val="en-GB"/>
        </w:rPr>
        <w:t>企业性质、发展历程、经营规模及服务理念、主营产品、</w:t>
      </w:r>
      <w:r>
        <w:rPr>
          <w:rFonts w:hint="eastAsia" w:ascii="华文宋体" w:hAnsi="华文宋体" w:eastAsia="华文宋体" w:cs="华文宋体"/>
          <w:color w:val="auto"/>
          <w:spacing w:val="0"/>
          <w:sz w:val="22"/>
          <w:szCs w:val="22"/>
          <w:highlight w:val="none"/>
        </w:rPr>
        <w:t>组织机构、服务效率、管理水平、技术力量、研发能力、行业地位、业内口碑等</w:t>
      </w:r>
      <w:r>
        <w:rPr>
          <w:rFonts w:hint="eastAsia" w:ascii="华文宋体" w:hAnsi="华文宋体" w:eastAsia="华文宋体" w:cs="华文宋体"/>
          <w:bCs w:val="0"/>
          <w:color w:val="auto"/>
          <w:spacing w:val="0"/>
          <w:kern w:val="2"/>
          <w:sz w:val="22"/>
          <w:szCs w:val="22"/>
          <w:highlight w:val="none"/>
          <w:lang w:val="en-GB"/>
        </w:rPr>
        <w:t>）或图片描述（</w:t>
      </w:r>
      <w:r>
        <w:rPr>
          <w:rFonts w:hint="eastAsia" w:ascii="华文宋体" w:hAnsi="华文宋体" w:eastAsia="华文宋体" w:cs="华文宋体"/>
          <w:bCs w:val="0"/>
          <w:color w:val="auto"/>
          <w:spacing w:val="0"/>
          <w:kern w:val="2"/>
          <w:sz w:val="22"/>
          <w:szCs w:val="22"/>
          <w:highlight w:val="none"/>
        </w:rPr>
        <w:t>例如</w:t>
      </w:r>
      <w:r>
        <w:rPr>
          <w:rFonts w:hint="eastAsia" w:ascii="华文宋体" w:hAnsi="华文宋体" w:eastAsia="华文宋体" w:cs="华文宋体"/>
          <w:bCs w:val="0"/>
          <w:color w:val="auto"/>
          <w:spacing w:val="0"/>
          <w:kern w:val="2"/>
          <w:sz w:val="22"/>
          <w:szCs w:val="22"/>
          <w:highlight w:val="none"/>
          <w:lang w:val="en-GB"/>
        </w:rPr>
        <w:t>经营场所、主要经营项目等）；</w:t>
      </w:r>
    </w:p>
    <w:p>
      <w:pPr>
        <w:pStyle w:val="50"/>
        <w:numPr>
          <w:ilvl w:val="0"/>
          <w:numId w:val="149"/>
        </w:numPr>
        <w:spacing w:before="0" w:after="0" w:line="380" w:lineRule="exact"/>
        <w:ind w:left="255" w:hanging="255"/>
        <w:rPr>
          <w:rFonts w:hint="eastAsia" w:ascii="华文宋体" w:hAnsi="华文宋体" w:eastAsia="华文宋体" w:cs="华文宋体"/>
          <w:bCs w:val="0"/>
          <w:color w:val="auto"/>
          <w:spacing w:val="0"/>
          <w:kern w:val="2"/>
          <w:sz w:val="22"/>
          <w:szCs w:val="22"/>
          <w:highlight w:val="none"/>
          <w:lang w:val="en-GB"/>
        </w:rPr>
      </w:pPr>
      <w:r>
        <w:rPr>
          <w:rFonts w:hint="eastAsia" w:ascii="华文宋体" w:hAnsi="华文宋体" w:eastAsia="华文宋体" w:cs="华文宋体"/>
          <w:bCs w:val="0"/>
          <w:color w:val="auto"/>
          <w:spacing w:val="0"/>
          <w:kern w:val="2"/>
          <w:sz w:val="22"/>
          <w:szCs w:val="22"/>
          <w:highlight w:val="none"/>
        </w:rPr>
        <w:t>供应商对</w:t>
      </w:r>
      <w:r>
        <w:rPr>
          <w:rFonts w:hint="eastAsia" w:ascii="华文宋体" w:hAnsi="华文宋体" w:eastAsia="华文宋体" w:cs="华文宋体"/>
          <w:bCs w:val="0"/>
          <w:color w:val="auto"/>
          <w:spacing w:val="0"/>
          <w:kern w:val="2"/>
          <w:sz w:val="22"/>
          <w:szCs w:val="22"/>
          <w:highlight w:val="none"/>
          <w:lang w:val="en-GB"/>
        </w:rPr>
        <w:t>此表</w:t>
      </w:r>
      <w:r>
        <w:rPr>
          <w:rFonts w:hint="eastAsia" w:ascii="华文宋体" w:hAnsi="华文宋体" w:eastAsia="华文宋体" w:cs="华文宋体"/>
          <w:bCs w:val="0"/>
          <w:color w:val="auto"/>
          <w:spacing w:val="0"/>
          <w:kern w:val="2"/>
          <w:sz w:val="22"/>
          <w:szCs w:val="22"/>
          <w:highlight w:val="none"/>
        </w:rPr>
        <w:t>内容负一切法律责任。</w:t>
      </w:r>
    </w:p>
    <w:p>
      <w:pPr>
        <w:pStyle w:val="50"/>
        <w:ind w:firstLine="420" w:firstLineChars="200"/>
        <w:rPr>
          <w:rFonts w:hint="eastAsia" w:ascii="华文宋体" w:hAnsi="华文宋体" w:eastAsia="华文宋体" w:cs="华文宋体"/>
          <w:bCs w:val="0"/>
          <w:color w:val="auto"/>
          <w:spacing w:val="0"/>
          <w:kern w:val="2"/>
          <w:sz w:val="21"/>
          <w:szCs w:val="21"/>
          <w:highlight w:val="none"/>
          <w:lang w:val="en-GB"/>
        </w:rPr>
      </w:pPr>
    </w:p>
    <w:p>
      <w:pPr>
        <w:pStyle w:val="50"/>
        <w:ind w:firstLine="420" w:firstLineChars="200"/>
        <w:rPr>
          <w:rFonts w:hint="eastAsia" w:ascii="华文宋体" w:hAnsi="华文宋体" w:eastAsia="华文宋体" w:cs="华文宋体"/>
          <w:bCs w:val="0"/>
          <w:color w:val="auto"/>
          <w:spacing w:val="0"/>
          <w:kern w:val="2"/>
          <w:sz w:val="21"/>
          <w:szCs w:val="21"/>
          <w:highlight w:val="none"/>
          <w:lang w:val="en-GB"/>
        </w:rPr>
      </w:pPr>
    </w:p>
    <w:p>
      <w:pPr>
        <w:keepNext w:val="0"/>
        <w:keepLines w:val="0"/>
        <w:pageBreakBefore w:val="0"/>
        <w:widowControl w:val="0"/>
        <w:kinsoku/>
        <w:wordWrap/>
        <w:overflowPunct/>
        <w:topLinePunct w:val="0"/>
        <w:autoSpaceDE/>
        <w:autoSpaceDN/>
        <w:bidi w:val="0"/>
        <w:adjustRightInd w:val="0"/>
        <w:snapToGrid w:val="0"/>
        <w:spacing w:line="360" w:lineRule="auto"/>
        <w:ind w:firstLine="3419" w:firstLineChars="1379"/>
        <w:textAlignment w:val="auto"/>
        <w:rPr>
          <w:rFonts w:hint="eastAsia" w:ascii="华文宋体" w:hAnsi="华文宋体" w:eastAsia="华文宋体" w:cs="华文宋体"/>
          <w:color w:val="auto"/>
          <w:sz w:val="24"/>
          <w:highlight w:val="none"/>
          <w:u w:val="single"/>
        </w:rPr>
      </w:pPr>
      <w:r>
        <w:rPr>
          <w:rFonts w:hint="eastAsia" w:ascii="华文宋体" w:hAnsi="华文宋体" w:eastAsia="华文宋体" w:cs="华文宋体"/>
          <w:color w:val="auto"/>
          <w:spacing w:val="4"/>
          <w:sz w:val="24"/>
          <w:highlight w:val="none"/>
        </w:rPr>
        <w:t>供应商名称（公章）：</w:t>
      </w:r>
      <w:r>
        <w:rPr>
          <w:rFonts w:hint="eastAsia" w:ascii="华文宋体" w:hAnsi="华文宋体" w:eastAsia="华文宋体" w:cs="华文宋体"/>
          <w:color w:val="auto"/>
          <w:spacing w:val="4"/>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3419" w:firstLineChars="1379"/>
        <w:textAlignment w:val="auto"/>
        <w:rPr>
          <w:rFonts w:hint="eastAsia" w:ascii="华文宋体" w:hAnsi="华文宋体" w:eastAsia="华文宋体" w:cs="华文宋体"/>
          <w:color w:val="auto"/>
          <w:spacing w:val="4"/>
          <w:sz w:val="24"/>
          <w:highlight w:val="none"/>
          <w:u w:val="single"/>
        </w:rPr>
      </w:pPr>
      <w:r>
        <w:rPr>
          <w:rFonts w:hint="eastAsia" w:ascii="华文宋体" w:hAnsi="华文宋体" w:eastAsia="华文宋体" w:cs="华文宋体"/>
          <w:color w:val="auto"/>
          <w:spacing w:val="4"/>
          <w:sz w:val="24"/>
          <w:highlight w:val="none"/>
        </w:rPr>
        <w:t>法定代表人或其授权代表（签名）：</w:t>
      </w:r>
      <w:r>
        <w:rPr>
          <w:rFonts w:hint="eastAsia" w:ascii="华文宋体" w:hAnsi="华文宋体" w:eastAsia="华文宋体" w:cs="华文宋体"/>
          <w:color w:val="auto"/>
          <w:spacing w:val="4"/>
          <w:sz w:val="24"/>
          <w:highlight w:val="none"/>
          <w:u w:val="single"/>
        </w:rPr>
        <w:t xml:space="preserve">             </w:t>
      </w:r>
    </w:p>
    <w:p>
      <w:pPr>
        <w:adjustRightInd w:val="0"/>
        <w:snapToGrid w:val="0"/>
        <w:spacing w:line="480" w:lineRule="auto"/>
        <w:ind w:firstLine="3419" w:firstLineChars="1379"/>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日期：</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年</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月</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日</w:t>
      </w:r>
    </w:p>
    <w:p>
      <w:pPr>
        <w:spacing w:line="240" w:lineRule="exact"/>
        <w:jc w:val="left"/>
        <w:rPr>
          <w:rFonts w:hint="eastAsia" w:ascii="华文宋体" w:hAnsi="华文宋体" w:eastAsia="华文宋体" w:cs="华文宋体"/>
          <w:b/>
          <w:snapToGrid w:val="0"/>
          <w:color w:val="auto"/>
          <w:sz w:val="32"/>
          <w:szCs w:val="32"/>
          <w:highlight w:val="none"/>
        </w:rPr>
      </w:pPr>
    </w:p>
    <w:p>
      <w:pPr>
        <w:jc w:val="center"/>
        <w:rPr>
          <w:rFonts w:hint="eastAsia" w:ascii="华文宋体" w:hAnsi="华文宋体" w:eastAsia="华文宋体" w:cs="华文宋体"/>
          <w:b/>
          <w:color w:val="auto"/>
          <w:sz w:val="32"/>
          <w:szCs w:val="32"/>
          <w:highlight w:val="none"/>
          <w:lang w:val="en-GB"/>
        </w:rPr>
      </w:pPr>
      <w:r>
        <w:rPr>
          <w:rFonts w:hint="eastAsia" w:ascii="华文宋体" w:hAnsi="华文宋体" w:eastAsia="华文宋体" w:cs="华文宋体"/>
          <w:b/>
          <w:color w:val="auto"/>
          <w:sz w:val="32"/>
          <w:szCs w:val="32"/>
          <w:highlight w:val="none"/>
          <w:lang w:val="en-GB"/>
        </w:rPr>
        <w:t>同类项目经验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项目名称：</w:t>
      </w:r>
    </w:p>
    <w:p>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 xml:space="preserve">项目编号：                                                        </w:t>
      </w:r>
    </w:p>
    <w:tbl>
      <w:tblPr>
        <w:tblStyle w:val="30"/>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351"/>
        <w:gridCol w:w="1219"/>
        <w:gridCol w:w="1704"/>
        <w:gridCol w:w="1218"/>
        <w:gridCol w:w="1218"/>
        <w:gridCol w:w="1218"/>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45" w:type="dxa"/>
            <w:shd w:val="clear" w:color="auto" w:fill="D7D7D7"/>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序号</w:t>
            </w:r>
          </w:p>
        </w:tc>
        <w:tc>
          <w:tcPr>
            <w:tcW w:w="1351" w:type="dxa"/>
            <w:shd w:val="clear" w:color="auto" w:fill="D7D7D7"/>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业主名称</w:t>
            </w:r>
          </w:p>
        </w:tc>
        <w:tc>
          <w:tcPr>
            <w:tcW w:w="1219" w:type="dxa"/>
            <w:shd w:val="clear" w:color="auto" w:fill="D7D7D7"/>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项目名称</w:t>
            </w:r>
          </w:p>
        </w:tc>
        <w:tc>
          <w:tcPr>
            <w:tcW w:w="1704" w:type="dxa"/>
            <w:shd w:val="clear" w:color="auto" w:fill="D7D7D7"/>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合同总价</w:t>
            </w:r>
          </w:p>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（单位/万元）</w:t>
            </w:r>
          </w:p>
        </w:tc>
        <w:tc>
          <w:tcPr>
            <w:tcW w:w="1218" w:type="dxa"/>
            <w:shd w:val="clear" w:color="auto" w:fill="D7D7D7"/>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签订时间</w:t>
            </w:r>
          </w:p>
        </w:tc>
        <w:tc>
          <w:tcPr>
            <w:tcW w:w="1218" w:type="dxa"/>
            <w:shd w:val="clear" w:color="auto" w:fill="D7D7D7"/>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完成时间</w:t>
            </w:r>
          </w:p>
        </w:tc>
        <w:tc>
          <w:tcPr>
            <w:tcW w:w="1218" w:type="dxa"/>
            <w:shd w:val="clear" w:color="auto" w:fill="D7D7D7"/>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用户/业主联系人及电话</w:t>
            </w:r>
          </w:p>
        </w:tc>
        <w:tc>
          <w:tcPr>
            <w:tcW w:w="1172" w:type="dxa"/>
            <w:shd w:val="clear" w:color="auto" w:fill="D7D7D7"/>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45"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1</w:t>
            </w:r>
          </w:p>
        </w:tc>
        <w:tc>
          <w:tcPr>
            <w:tcW w:w="1351"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9" w:type="dxa"/>
            <w:noWrap w:val="0"/>
            <w:vAlign w:val="top"/>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704"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8"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8"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8"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172"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45"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2</w:t>
            </w:r>
          </w:p>
        </w:tc>
        <w:tc>
          <w:tcPr>
            <w:tcW w:w="1351"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9" w:type="dxa"/>
            <w:noWrap w:val="0"/>
            <w:vAlign w:val="top"/>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704"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8" w:type="dxa"/>
            <w:noWrap w:val="0"/>
            <w:vAlign w:val="top"/>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8" w:type="dxa"/>
            <w:noWrap w:val="0"/>
            <w:vAlign w:val="top"/>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8"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172"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5"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3</w:t>
            </w:r>
          </w:p>
        </w:tc>
        <w:tc>
          <w:tcPr>
            <w:tcW w:w="1351"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9" w:type="dxa"/>
            <w:noWrap w:val="0"/>
            <w:vAlign w:val="top"/>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704"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8" w:type="dxa"/>
            <w:noWrap w:val="0"/>
            <w:vAlign w:val="top"/>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8" w:type="dxa"/>
            <w:noWrap w:val="0"/>
            <w:vAlign w:val="top"/>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8"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172"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45"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w:t>
            </w:r>
          </w:p>
        </w:tc>
        <w:tc>
          <w:tcPr>
            <w:tcW w:w="1351"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9" w:type="dxa"/>
            <w:noWrap w:val="0"/>
            <w:vAlign w:val="top"/>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704"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8" w:type="dxa"/>
            <w:noWrap w:val="0"/>
            <w:vAlign w:val="top"/>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8" w:type="dxa"/>
            <w:noWrap w:val="0"/>
            <w:vAlign w:val="top"/>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218"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c>
          <w:tcPr>
            <w:tcW w:w="1172" w:type="dxa"/>
            <w:noWrap w:val="0"/>
            <w:vAlign w:val="center"/>
          </w:tcPr>
          <w:p>
            <w:pPr>
              <w:spacing w:before="24" w:beforeLines="10" w:after="24" w:afterLines="10" w:line="340" w:lineRule="exact"/>
              <w:ind w:left="-45" w:leftChars="-25" w:right="-45" w:rightChars="-25"/>
              <w:jc w:val="center"/>
              <w:rPr>
                <w:rFonts w:hint="eastAsia" w:ascii="华文宋体" w:hAnsi="华文宋体" w:eastAsia="华文宋体" w:cs="华文宋体"/>
                <w:color w:val="auto"/>
                <w:sz w:val="23"/>
                <w:szCs w:val="23"/>
                <w:highlight w:val="none"/>
              </w:rPr>
            </w:pPr>
          </w:p>
        </w:tc>
      </w:tr>
    </w:tbl>
    <w:p>
      <w:pPr>
        <w:spacing w:before="120" w:beforeLines="50" w:line="360" w:lineRule="auto"/>
        <w:rPr>
          <w:rFonts w:hint="eastAsia" w:ascii="华文宋体" w:hAnsi="华文宋体" w:eastAsia="华文宋体" w:cs="华文宋体"/>
          <w:bCs/>
          <w:color w:val="auto"/>
          <w:sz w:val="22"/>
          <w:highlight w:val="none"/>
        </w:rPr>
      </w:pPr>
      <w:r>
        <w:rPr>
          <w:rFonts w:hint="eastAsia" w:ascii="华文宋体" w:hAnsi="华文宋体" w:eastAsia="华文宋体" w:cs="华文宋体"/>
          <w:bCs/>
          <w:color w:val="auto"/>
          <w:sz w:val="22"/>
          <w:highlight w:val="none"/>
        </w:rPr>
        <w:t>注：</w:t>
      </w:r>
    </w:p>
    <w:p>
      <w:pPr>
        <w:numPr>
          <w:ilvl w:val="0"/>
          <w:numId w:val="150"/>
        </w:numPr>
        <w:adjustRightInd w:val="0"/>
        <w:snapToGrid w:val="0"/>
        <w:spacing w:line="360" w:lineRule="auto"/>
        <w:ind w:left="255" w:hanging="255"/>
        <w:rPr>
          <w:rFonts w:hint="eastAsia" w:ascii="华文宋体" w:hAnsi="华文宋体" w:eastAsia="华文宋体" w:cs="华文宋体"/>
          <w:bCs/>
          <w:color w:val="auto"/>
          <w:sz w:val="22"/>
          <w:highlight w:val="none"/>
          <w:lang w:val="en-GB"/>
        </w:rPr>
      </w:pPr>
      <w:r>
        <w:rPr>
          <w:rFonts w:hint="eastAsia" w:ascii="华文宋体" w:hAnsi="华文宋体" w:eastAsia="华文宋体" w:cs="华文宋体"/>
          <w:bCs/>
          <w:color w:val="auto"/>
          <w:sz w:val="22"/>
          <w:highlight w:val="none"/>
          <w:lang w:val="en-GB"/>
        </w:rPr>
        <w:t>内容格式仅供参考，可根据供应商情况自行设计。</w:t>
      </w:r>
    </w:p>
    <w:p>
      <w:pPr>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highlight w:val="none"/>
        </w:rPr>
      </w:pPr>
    </w:p>
    <w:p>
      <w:pPr>
        <w:pStyle w:val="50"/>
        <w:rPr>
          <w:rFonts w:hint="eastAsia" w:ascii="华文宋体" w:hAnsi="华文宋体" w:eastAsia="华文宋体" w:cs="华文宋体"/>
          <w:color w:val="auto"/>
          <w:highlight w:val="none"/>
        </w:rPr>
      </w:pPr>
    </w:p>
    <w:p>
      <w:pPr>
        <w:adjustRightInd w:val="0"/>
        <w:snapToGrid w:val="0"/>
        <w:spacing w:line="480" w:lineRule="auto"/>
        <w:ind w:firstLine="2728" w:firstLineChars="1100"/>
        <w:rPr>
          <w:rFonts w:hint="eastAsia" w:ascii="华文宋体" w:hAnsi="华文宋体" w:eastAsia="华文宋体" w:cs="华文宋体"/>
          <w:color w:val="auto"/>
          <w:sz w:val="24"/>
          <w:szCs w:val="24"/>
          <w:highlight w:val="none"/>
          <w:u w:val="single"/>
        </w:rPr>
      </w:pPr>
      <w:r>
        <w:rPr>
          <w:rFonts w:hint="eastAsia" w:ascii="华文宋体" w:hAnsi="华文宋体" w:eastAsia="华文宋体" w:cs="华文宋体"/>
          <w:color w:val="auto"/>
          <w:spacing w:val="4"/>
          <w:sz w:val="24"/>
          <w:szCs w:val="24"/>
          <w:highlight w:val="none"/>
        </w:rPr>
        <w:t>供应商名称（公章）：</w:t>
      </w:r>
      <w:r>
        <w:rPr>
          <w:rFonts w:hint="eastAsia" w:ascii="华文宋体" w:hAnsi="华文宋体" w:eastAsia="华文宋体" w:cs="华文宋体"/>
          <w:color w:val="auto"/>
          <w:spacing w:val="4"/>
          <w:sz w:val="24"/>
          <w:szCs w:val="24"/>
          <w:highlight w:val="none"/>
          <w:u w:val="single"/>
        </w:rPr>
        <w:t xml:space="preserve">                              </w:t>
      </w:r>
    </w:p>
    <w:p>
      <w:pPr>
        <w:adjustRightInd w:val="0"/>
        <w:snapToGrid w:val="0"/>
        <w:spacing w:line="480" w:lineRule="auto"/>
        <w:ind w:firstLine="2728" w:firstLineChars="1100"/>
        <w:rPr>
          <w:rFonts w:hint="eastAsia" w:ascii="华文宋体" w:hAnsi="华文宋体" w:eastAsia="华文宋体" w:cs="华文宋体"/>
          <w:color w:val="auto"/>
          <w:spacing w:val="4"/>
          <w:sz w:val="24"/>
          <w:szCs w:val="24"/>
          <w:highlight w:val="none"/>
          <w:u w:val="single"/>
        </w:rPr>
      </w:pPr>
      <w:r>
        <w:rPr>
          <w:rFonts w:hint="eastAsia" w:ascii="华文宋体" w:hAnsi="华文宋体" w:eastAsia="华文宋体" w:cs="华文宋体"/>
          <w:color w:val="auto"/>
          <w:spacing w:val="4"/>
          <w:sz w:val="24"/>
          <w:szCs w:val="24"/>
          <w:highlight w:val="none"/>
        </w:rPr>
        <w:t>法定代表人或其授权代表（签名或盖章）：</w:t>
      </w:r>
      <w:r>
        <w:rPr>
          <w:rFonts w:hint="eastAsia" w:ascii="华文宋体" w:hAnsi="华文宋体" w:eastAsia="华文宋体" w:cs="华文宋体"/>
          <w:color w:val="auto"/>
          <w:spacing w:val="4"/>
          <w:sz w:val="24"/>
          <w:szCs w:val="24"/>
          <w:highlight w:val="none"/>
          <w:u w:val="single"/>
        </w:rPr>
        <w:t xml:space="preserve">            </w:t>
      </w:r>
    </w:p>
    <w:p>
      <w:pPr>
        <w:adjustRightInd w:val="0"/>
        <w:snapToGrid w:val="0"/>
        <w:spacing w:line="360" w:lineRule="auto"/>
        <w:ind w:right="480" w:firstLine="2728" w:firstLineChars="1100"/>
        <w:rPr>
          <w:rFonts w:hint="eastAsia" w:ascii="华文宋体" w:hAnsi="华文宋体" w:eastAsia="华文宋体" w:cs="华文宋体"/>
          <w:color w:val="auto"/>
          <w:spacing w:val="4"/>
          <w:sz w:val="24"/>
          <w:szCs w:val="24"/>
          <w:highlight w:val="none"/>
        </w:rPr>
      </w:pPr>
      <w:r>
        <w:rPr>
          <w:rFonts w:hint="eastAsia" w:ascii="华文宋体" w:hAnsi="华文宋体" w:eastAsia="华文宋体" w:cs="华文宋体"/>
          <w:color w:val="auto"/>
          <w:spacing w:val="4"/>
          <w:sz w:val="24"/>
          <w:szCs w:val="24"/>
          <w:highlight w:val="none"/>
        </w:rPr>
        <w:t>日期：</w:t>
      </w:r>
      <w:r>
        <w:rPr>
          <w:rFonts w:hint="eastAsia" w:ascii="华文宋体" w:hAnsi="华文宋体" w:eastAsia="华文宋体" w:cs="华文宋体"/>
          <w:color w:val="auto"/>
          <w:spacing w:val="4"/>
          <w:sz w:val="24"/>
          <w:szCs w:val="24"/>
          <w:highlight w:val="none"/>
          <w:u w:val="single"/>
        </w:rPr>
        <w:t xml:space="preserve">      </w:t>
      </w:r>
      <w:r>
        <w:rPr>
          <w:rFonts w:hint="eastAsia" w:ascii="华文宋体" w:hAnsi="华文宋体" w:eastAsia="华文宋体" w:cs="华文宋体"/>
          <w:color w:val="auto"/>
          <w:spacing w:val="4"/>
          <w:sz w:val="24"/>
          <w:szCs w:val="24"/>
          <w:highlight w:val="none"/>
        </w:rPr>
        <w:t>年</w:t>
      </w:r>
      <w:r>
        <w:rPr>
          <w:rFonts w:hint="eastAsia" w:ascii="华文宋体" w:hAnsi="华文宋体" w:eastAsia="华文宋体" w:cs="华文宋体"/>
          <w:color w:val="auto"/>
          <w:spacing w:val="4"/>
          <w:sz w:val="24"/>
          <w:szCs w:val="24"/>
          <w:highlight w:val="none"/>
          <w:u w:val="single"/>
        </w:rPr>
        <w:t xml:space="preserve">    </w:t>
      </w:r>
      <w:r>
        <w:rPr>
          <w:rFonts w:hint="eastAsia" w:ascii="华文宋体" w:hAnsi="华文宋体" w:eastAsia="华文宋体" w:cs="华文宋体"/>
          <w:color w:val="auto"/>
          <w:spacing w:val="4"/>
          <w:sz w:val="24"/>
          <w:szCs w:val="24"/>
          <w:highlight w:val="none"/>
        </w:rPr>
        <w:t>月</w:t>
      </w:r>
      <w:r>
        <w:rPr>
          <w:rFonts w:hint="eastAsia" w:ascii="华文宋体" w:hAnsi="华文宋体" w:eastAsia="华文宋体" w:cs="华文宋体"/>
          <w:color w:val="auto"/>
          <w:spacing w:val="4"/>
          <w:sz w:val="24"/>
          <w:szCs w:val="24"/>
          <w:highlight w:val="none"/>
          <w:u w:val="single"/>
        </w:rPr>
        <w:t xml:space="preserve">    </w:t>
      </w:r>
      <w:r>
        <w:rPr>
          <w:rFonts w:hint="eastAsia" w:ascii="华文宋体" w:hAnsi="华文宋体" w:eastAsia="华文宋体" w:cs="华文宋体"/>
          <w:color w:val="auto"/>
          <w:spacing w:val="4"/>
          <w:sz w:val="24"/>
          <w:szCs w:val="24"/>
          <w:highlight w:val="none"/>
        </w:rPr>
        <w:t>日</w:t>
      </w:r>
    </w:p>
    <w:p>
      <w:pPr>
        <w:adjustRightInd w:val="0"/>
        <w:snapToGrid w:val="0"/>
        <w:spacing w:line="480" w:lineRule="auto"/>
        <w:ind w:firstLine="3779" w:firstLineChars="1524"/>
        <w:rPr>
          <w:rFonts w:hint="eastAsia" w:ascii="华文宋体" w:hAnsi="华文宋体" w:eastAsia="华文宋体" w:cs="华文宋体"/>
          <w:color w:val="auto"/>
          <w:spacing w:val="4"/>
          <w:sz w:val="24"/>
          <w:highlight w:val="none"/>
        </w:rPr>
      </w:pPr>
    </w:p>
    <w:p>
      <w:pPr>
        <w:rPr>
          <w:rFonts w:hint="eastAsia" w:ascii="华文宋体" w:hAnsi="华文宋体" w:eastAsia="华文宋体" w:cs="华文宋体"/>
          <w:b/>
          <w:snapToGrid w:val="0"/>
          <w:color w:val="auto"/>
          <w:sz w:val="28"/>
          <w:szCs w:val="28"/>
          <w:highlight w:val="none"/>
        </w:rPr>
      </w:pPr>
    </w:p>
    <w:p>
      <w:pPr>
        <w:rPr>
          <w:rFonts w:hint="eastAsia" w:ascii="华文宋体" w:hAnsi="华文宋体" w:eastAsia="华文宋体" w:cs="华文宋体"/>
          <w:b/>
          <w:snapToGrid w:val="0"/>
          <w:color w:val="auto"/>
          <w:sz w:val="28"/>
          <w:szCs w:val="28"/>
          <w:highlight w:val="none"/>
        </w:rPr>
      </w:pPr>
    </w:p>
    <w:p>
      <w:pPr>
        <w:rPr>
          <w:rFonts w:hint="eastAsia" w:ascii="华文宋体" w:hAnsi="华文宋体" w:eastAsia="华文宋体" w:cs="华文宋体"/>
          <w:b/>
          <w:snapToGrid w:val="0"/>
          <w:color w:val="auto"/>
          <w:sz w:val="28"/>
          <w:szCs w:val="28"/>
          <w:highlight w:val="none"/>
        </w:rPr>
      </w:pPr>
    </w:p>
    <w:p>
      <w:pPr>
        <w:rPr>
          <w:rFonts w:hint="eastAsia" w:ascii="华文宋体" w:hAnsi="华文宋体" w:eastAsia="华文宋体" w:cs="华文宋体"/>
          <w:b/>
          <w:snapToGrid w:val="0"/>
          <w:color w:val="auto"/>
          <w:sz w:val="28"/>
          <w:szCs w:val="28"/>
          <w:highlight w:val="none"/>
        </w:rPr>
      </w:pPr>
    </w:p>
    <w:p>
      <w:pPr>
        <w:rPr>
          <w:rFonts w:hint="eastAsia" w:ascii="华文宋体" w:hAnsi="华文宋体" w:eastAsia="华文宋体" w:cs="华文宋体"/>
          <w:color w:val="auto"/>
          <w:highlight w:val="none"/>
        </w:rPr>
      </w:pPr>
    </w:p>
    <w:p>
      <w:pPr>
        <w:spacing w:line="240" w:lineRule="exact"/>
        <w:jc w:val="left"/>
        <w:rPr>
          <w:rFonts w:hint="eastAsia" w:ascii="华文宋体" w:hAnsi="华文宋体" w:eastAsia="华文宋体" w:cs="华文宋体"/>
          <w:b/>
          <w:snapToGrid w:val="0"/>
          <w:color w:val="auto"/>
          <w:sz w:val="32"/>
          <w:szCs w:val="32"/>
          <w:highlight w:val="none"/>
        </w:rPr>
      </w:pPr>
      <w:r>
        <w:rPr>
          <w:rFonts w:hint="eastAsia" w:ascii="华文宋体" w:hAnsi="华文宋体" w:eastAsia="华文宋体" w:cs="华文宋体"/>
          <w:b/>
          <w:snapToGrid w:val="0"/>
          <w:color w:val="auto"/>
          <w:sz w:val="32"/>
          <w:szCs w:val="32"/>
          <w:highlight w:val="none"/>
        </w:rPr>
        <w:br w:type="page"/>
      </w:r>
    </w:p>
    <w:p>
      <w:pPr>
        <w:jc w:val="center"/>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
          <w:snapToGrid w:val="0"/>
          <w:color w:val="auto"/>
          <w:sz w:val="32"/>
          <w:szCs w:val="32"/>
          <w:highlight w:val="none"/>
        </w:rPr>
        <w:t>需求响应一览表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 xml:space="preserve">项目名称：                            </w:t>
      </w:r>
    </w:p>
    <w:p>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 xml:space="preserve">项目编号： </w:t>
      </w:r>
    </w:p>
    <w:tbl>
      <w:tblPr>
        <w:tblStyle w:val="30"/>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856"/>
        <w:gridCol w:w="3431"/>
        <w:gridCol w:w="1731"/>
        <w:gridCol w:w="1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88" w:type="dxa"/>
            <w:tcBorders>
              <w:top w:val="single" w:color="auto" w:sz="2" w:space="0"/>
              <w:left w:val="single" w:color="auto" w:sz="2" w:space="0"/>
              <w:bottom w:val="single" w:color="auto" w:sz="2" w:space="0"/>
            </w:tcBorders>
            <w:shd w:val="clear" w:color="auto" w:fill="D7D7D7"/>
            <w:noWrap w:val="0"/>
            <w:vAlign w:val="center"/>
          </w:tcPr>
          <w:p>
            <w:pPr>
              <w:snapToGrid w:val="0"/>
              <w:ind w:left="-61" w:leftChars="-34" w:right="-63" w:rightChars="-3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序</w:t>
            </w:r>
          </w:p>
          <w:p>
            <w:pPr>
              <w:snapToGrid w:val="0"/>
              <w:ind w:left="-61" w:leftChars="-34" w:right="-63" w:rightChars="-3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号</w:t>
            </w:r>
          </w:p>
        </w:tc>
        <w:tc>
          <w:tcPr>
            <w:tcW w:w="1856" w:type="dxa"/>
            <w:tcBorders>
              <w:top w:val="single" w:color="auto" w:sz="2" w:space="0"/>
              <w:bottom w:val="single" w:color="auto" w:sz="2" w:space="0"/>
            </w:tcBorders>
            <w:shd w:val="clear" w:color="auto" w:fill="D7D7D7"/>
            <w:noWrap w:val="0"/>
            <w:vAlign w:val="center"/>
          </w:tcPr>
          <w:p>
            <w:pPr>
              <w:snapToGrid w:val="0"/>
              <w:ind w:left="-61" w:leftChars="-34" w:right="-63" w:rightChars="-3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竞争性磋商文件条款描述</w:t>
            </w:r>
          </w:p>
        </w:tc>
        <w:tc>
          <w:tcPr>
            <w:tcW w:w="3431" w:type="dxa"/>
            <w:tcBorders>
              <w:top w:val="single" w:color="auto" w:sz="2" w:space="0"/>
              <w:bottom w:val="single" w:color="auto" w:sz="2" w:space="0"/>
            </w:tcBorders>
            <w:shd w:val="clear" w:color="auto" w:fill="D7D7D7"/>
            <w:noWrap w:val="0"/>
            <w:vAlign w:val="center"/>
          </w:tcPr>
          <w:p>
            <w:pPr>
              <w:snapToGrid w:val="0"/>
              <w:ind w:left="-61" w:leftChars="-34" w:right="-63" w:rightChars="-3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供应商响应描述</w:t>
            </w:r>
          </w:p>
        </w:tc>
        <w:tc>
          <w:tcPr>
            <w:tcW w:w="1731" w:type="dxa"/>
            <w:tcBorders>
              <w:top w:val="single" w:color="auto" w:sz="2" w:space="0"/>
              <w:bottom w:val="single" w:color="auto" w:sz="2" w:space="0"/>
            </w:tcBorders>
            <w:shd w:val="clear" w:color="auto" w:fill="D7D7D7"/>
            <w:noWrap w:val="0"/>
            <w:vAlign w:val="center"/>
          </w:tcPr>
          <w:p>
            <w:pPr>
              <w:snapToGrid w:val="0"/>
              <w:spacing w:line="300" w:lineRule="exact"/>
              <w:ind w:left="-61" w:leftChars="-34" w:right="-63" w:rightChars="-3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偏离情况说明</w:t>
            </w:r>
          </w:p>
          <w:p>
            <w:pPr>
              <w:snapToGrid w:val="0"/>
              <w:spacing w:line="300" w:lineRule="exact"/>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（正偏离/完全响应/负偏离）</w:t>
            </w:r>
          </w:p>
        </w:tc>
        <w:tc>
          <w:tcPr>
            <w:tcW w:w="1770" w:type="dxa"/>
            <w:tcBorders>
              <w:top w:val="single" w:color="auto" w:sz="2" w:space="0"/>
              <w:bottom w:val="single" w:color="auto" w:sz="2" w:space="0"/>
              <w:right w:val="single" w:color="auto" w:sz="2" w:space="0"/>
            </w:tcBorders>
            <w:shd w:val="clear" w:color="auto" w:fill="D7D7D7"/>
            <w:noWrap w:val="0"/>
            <w:vAlign w:val="center"/>
          </w:tcPr>
          <w:p>
            <w:pPr>
              <w:snapToGrid w:val="0"/>
              <w:ind w:left="-61" w:leftChars="-34" w:right="-63" w:rightChars="-35"/>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88" w:type="dxa"/>
            <w:tcBorders>
              <w:top w:val="single" w:color="auto" w:sz="2" w:space="0"/>
              <w:left w:val="single" w:color="auto" w:sz="2" w:space="0"/>
              <w:bottom w:val="single" w:color="auto" w:sz="2" w:space="0"/>
            </w:tcBorders>
            <w:noWrap w:val="0"/>
            <w:vAlign w:val="center"/>
          </w:tcPr>
          <w:p>
            <w:pPr>
              <w:keepNext w:val="0"/>
              <w:keepLines w:val="0"/>
              <w:pageBreakBefore w:val="0"/>
              <w:widowControl w:val="0"/>
              <w:numPr>
                <w:ilvl w:val="0"/>
                <w:numId w:val="151"/>
              </w:numPr>
              <w:kinsoku/>
              <w:wordWrap/>
              <w:overflowPunct/>
              <w:topLinePunct w:val="0"/>
              <w:autoSpaceDE/>
              <w:autoSpaceDN/>
              <w:bidi w:val="0"/>
              <w:adjustRightInd/>
              <w:snapToGrid/>
              <w:spacing w:line="360" w:lineRule="exact"/>
              <w:jc w:val="left"/>
              <w:textAlignment w:val="auto"/>
              <w:rPr>
                <w:rFonts w:hint="eastAsia" w:ascii="华文宋体" w:hAnsi="华文宋体" w:eastAsia="华文宋体" w:cs="华文宋体"/>
                <w:color w:val="auto"/>
                <w:sz w:val="23"/>
                <w:szCs w:val="23"/>
                <w:highlight w:val="none"/>
              </w:rPr>
            </w:pPr>
          </w:p>
        </w:tc>
        <w:tc>
          <w:tcPr>
            <w:tcW w:w="1856"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一、采购概况</w:t>
            </w:r>
          </w:p>
        </w:tc>
        <w:tc>
          <w:tcPr>
            <w:tcW w:w="34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70" w:type="dxa"/>
            <w:tcBorders>
              <w:top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见《响应文件》第</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88" w:type="dxa"/>
            <w:tcBorders>
              <w:top w:val="single" w:color="auto" w:sz="2" w:space="0"/>
              <w:left w:val="single" w:color="auto" w:sz="2" w:space="0"/>
              <w:bottom w:val="single" w:color="auto" w:sz="2" w:space="0"/>
            </w:tcBorders>
            <w:noWrap w:val="0"/>
            <w:vAlign w:val="center"/>
          </w:tcPr>
          <w:p>
            <w:pPr>
              <w:keepNext w:val="0"/>
              <w:keepLines w:val="0"/>
              <w:pageBreakBefore w:val="0"/>
              <w:widowControl w:val="0"/>
              <w:numPr>
                <w:ilvl w:val="0"/>
                <w:numId w:val="151"/>
              </w:numPr>
              <w:kinsoku/>
              <w:wordWrap/>
              <w:overflowPunct/>
              <w:topLinePunct w:val="0"/>
              <w:autoSpaceDE/>
              <w:autoSpaceDN/>
              <w:bidi w:val="0"/>
              <w:adjustRightInd/>
              <w:snapToGrid/>
              <w:spacing w:line="360" w:lineRule="exact"/>
              <w:jc w:val="left"/>
              <w:textAlignment w:val="auto"/>
              <w:rPr>
                <w:rFonts w:hint="eastAsia" w:ascii="华文宋体" w:hAnsi="华文宋体" w:eastAsia="华文宋体" w:cs="华文宋体"/>
                <w:color w:val="auto"/>
                <w:sz w:val="23"/>
                <w:szCs w:val="23"/>
                <w:highlight w:val="none"/>
              </w:rPr>
            </w:pPr>
          </w:p>
        </w:tc>
        <w:tc>
          <w:tcPr>
            <w:tcW w:w="1856"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二、项目概述</w:t>
            </w:r>
          </w:p>
        </w:tc>
        <w:tc>
          <w:tcPr>
            <w:tcW w:w="34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70" w:type="dxa"/>
            <w:tcBorders>
              <w:top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见《响应文件》第</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88" w:type="dxa"/>
            <w:tcBorders>
              <w:top w:val="single" w:color="auto" w:sz="2" w:space="0"/>
              <w:left w:val="single" w:color="auto" w:sz="2" w:space="0"/>
              <w:bottom w:val="single" w:color="auto" w:sz="2" w:space="0"/>
            </w:tcBorders>
            <w:noWrap w:val="0"/>
            <w:vAlign w:val="center"/>
          </w:tcPr>
          <w:p>
            <w:pPr>
              <w:keepNext w:val="0"/>
              <w:keepLines w:val="0"/>
              <w:pageBreakBefore w:val="0"/>
              <w:widowControl w:val="0"/>
              <w:numPr>
                <w:ilvl w:val="0"/>
                <w:numId w:val="151"/>
              </w:numPr>
              <w:kinsoku/>
              <w:wordWrap/>
              <w:overflowPunct/>
              <w:topLinePunct w:val="0"/>
              <w:autoSpaceDE/>
              <w:autoSpaceDN/>
              <w:bidi w:val="0"/>
              <w:adjustRightInd/>
              <w:snapToGrid/>
              <w:spacing w:line="360" w:lineRule="exact"/>
              <w:jc w:val="left"/>
              <w:textAlignment w:val="auto"/>
              <w:rPr>
                <w:rFonts w:hint="eastAsia" w:ascii="华文宋体" w:hAnsi="华文宋体" w:eastAsia="华文宋体" w:cs="华文宋体"/>
                <w:color w:val="auto"/>
                <w:sz w:val="23"/>
                <w:szCs w:val="23"/>
                <w:highlight w:val="none"/>
              </w:rPr>
            </w:pPr>
          </w:p>
        </w:tc>
        <w:tc>
          <w:tcPr>
            <w:tcW w:w="1856"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三、服务范围</w:t>
            </w:r>
          </w:p>
        </w:tc>
        <w:tc>
          <w:tcPr>
            <w:tcW w:w="34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70" w:type="dxa"/>
            <w:tcBorders>
              <w:top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见《响应文件》第</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88" w:type="dxa"/>
            <w:tcBorders>
              <w:top w:val="single" w:color="auto" w:sz="2" w:space="0"/>
              <w:left w:val="single" w:color="auto" w:sz="2" w:space="0"/>
              <w:bottom w:val="single" w:color="auto" w:sz="2" w:space="0"/>
            </w:tcBorders>
            <w:noWrap w:val="0"/>
            <w:vAlign w:val="center"/>
          </w:tcPr>
          <w:p>
            <w:pPr>
              <w:keepNext w:val="0"/>
              <w:keepLines w:val="0"/>
              <w:pageBreakBefore w:val="0"/>
              <w:widowControl w:val="0"/>
              <w:numPr>
                <w:ilvl w:val="0"/>
                <w:numId w:val="151"/>
              </w:numPr>
              <w:kinsoku/>
              <w:wordWrap/>
              <w:overflowPunct/>
              <w:topLinePunct w:val="0"/>
              <w:autoSpaceDE/>
              <w:autoSpaceDN/>
              <w:bidi w:val="0"/>
              <w:adjustRightInd/>
              <w:snapToGrid/>
              <w:spacing w:line="360" w:lineRule="exact"/>
              <w:jc w:val="left"/>
              <w:textAlignment w:val="auto"/>
              <w:rPr>
                <w:rFonts w:hint="eastAsia" w:ascii="华文宋体" w:hAnsi="华文宋体" w:eastAsia="华文宋体" w:cs="华文宋体"/>
                <w:color w:val="auto"/>
                <w:sz w:val="23"/>
                <w:szCs w:val="23"/>
                <w:highlight w:val="none"/>
              </w:rPr>
            </w:pPr>
          </w:p>
        </w:tc>
        <w:tc>
          <w:tcPr>
            <w:tcW w:w="1856"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四、质量要求</w:t>
            </w:r>
          </w:p>
        </w:tc>
        <w:tc>
          <w:tcPr>
            <w:tcW w:w="34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70" w:type="dxa"/>
            <w:tcBorders>
              <w:top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见《响应文件》第</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88" w:type="dxa"/>
            <w:tcBorders>
              <w:top w:val="single" w:color="auto" w:sz="2" w:space="0"/>
              <w:left w:val="single" w:color="auto" w:sz="2" w:space="0"/>
              <w:bottom w:val="single" w:color="auto" w:sz="2" w:space="0"/>
            </w:tcBorders>
            <w:noWrap w:val="0"/>
            <w:vAlign w:val="center"/>
          </w:tcPr>
          <w:p>
            <w:pPr>
              <w:keepNext w:val="0"/>
              <w:keepLines w:val="0"/>
              <w:pageBreakBefore w:val="0"/>
              <w:widowControl w:val="0"/>
              <w:numPr>
                <w:ilvl w:val="0"/>
                <w:numId w:val="151"/>
              </w:numPr>
              <w:kinsoku/>
              <w:wordWrap/>
              <w:overflowPunct/>
              <w:topLinePunct w:val="0"/>
              <w:autoSpaceDE/>
              <w:autoSpaceDN/>
              <w:bidi w:val="0"/>
              <w:adjustRightInd/>
              <w:snapToGrid/>
              <w:spacing w:line="360" w:lineRule="exact"/>
              <w:jc w:val="left"/>
              <w:textAlignment w:val="auto"/>
              <w:rPr>
                <w:rFonts w:hint="eastAsia" w:ascii="华文宋体" w:hAnsi="华文宋体" w:eastAsia="华文宋体" w:cs="华文宋体"/>
                <w:color w:val="auto"/>
                <w:sz w:val="23"/>
                <w:szCs w:val="23"/>
                <w:highlight w:val="none"/>
              </w:rPr>
            </w:pPr>
          </w:p>
        </w:tc>
        <w:tc>
          <w:tcPr>
            <w:tcW w:w="1856"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五、服务要求</w:t>
            </w:r>
          </w:p>
        </w:tc>
        <w:tc>
          <w:tcPr>
            <w:tcW w:w="34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70" w:type="dxa"/>
            <w:tcBorders>
              <w:top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见《响应文件》第</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88" w:type="dxa"/>
            <w:tcBorders>
              <w:top w:val="single" w:color="auto" w:sz="2" w:space="0"/>
              <w:left w:val="single" w:color="auto" w:sz="2" w:space="0"/>
              <w:bottom w:val="single" w:color="auto" w:sz="2" w:space="0"/>
            </w:tcBorders>
            <w:noWrap w:val="0"/>
            <w:vAlign w:val="center"/>
          </w:tcPr>
          <w:p>
            <w:pPr>
              <w:keepNext w:val="0"/>
              <w:keepLines w:val="0"/>
              <w:pageBreakBefore w:val="0"/>
              <w:widowControl w:val="0"/>
              <w:numPr>
                <w:ilvl w:val="0"/>
                <w:numId w:val="151"/>
              </w:numPr>
              <w:kinsoku/>
              <w:wordWrap/>
              <w:overflowPunct/>
              <w:topLinePunct w:val="0"/>
              <w:autoSpaceDE/>
              <w:autoSpaceDN/>
              <w:bidi w:val="0"/>
              <w:adjustRightInd/>
              <w:snapToGrid/>
              <w:spacing w:line="360" w:lineRule="exact"/>
              <w:jc w:val="left"/>
              <w:textAlignment w:val="auto"/>
              <w:rPr>
                <w:rFonts w:hint="eastAsia" w:ascii="华文宋体" w:hAnsi="华文宋体" w:eastAsia="华文宋体" w:cs="华文宋体"/>
                <w:color w:val="auto"/>
                <w:sz w:val="23"/>
                <w:szCs w:val="23"/>
                <w:highlight w:val="none"/>
              </w:rPr>
            </w:pPr>
          </w:p>
        </w:tc>
        <w:tc>
          <w:tcPr>
            <w:tcW w:w="1856"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六、管理要求</w:t>
            </w:r>
          </w:p>
        </w:tc>
        <w:tc>
          <w:tcPr>
            <w:tcW w:w="34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70" w:type="dxa"/>
            <w:tcBorders>
              <w:top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见《响应文件》第</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88" w:type="dxa"/>
            <w:tcBorders>
              <w:top w:val="single" w:color="auto" w:sz="2" w:space="0"/>
              <w:left w:val="single" w:color="auto" w:sz="2" w:space="0"/>
              <w:bottom w:val="single" w:color="auto" w:sz="2" w:space="0"/>
            </w:tcBorders>
            <w:noWrap w:val="0"/>
            <w:vAlign w:val="center"/>
          </w:tcPr>
          <w:p>
            <w:pPr>
              <w:keepNext w:val="0"/>
              <w:keepLines w:val="0"/>
              <w:pageBreakBefore w:val="0"/>
              <w:widowControl w:val="0"/>
              <w:numPr>
                <w:ilvl w:val="0"/>
                <w:numId w:val="151"/>
              </w:numPr>
              <w:kinsoku/>
              <w:wordWrap/>
              <w:overflowPunct/>
              <w:topLinePunct w:val="0"/>
              <w:autoSpaceDE/>
              <w:autoSpaceDN/>
              <w:bidi w:val="0"/>
              <w:adjustRightInd/>
              <w:snapToGrid/>
              <w:spacing w:line="360" w:lineRule="exact"/>
              <w:jc w:val="left"/>
              <w:textAlignment w:val="auto"/>
              <w:rPr>
                <w:rFonts w:hint="eastAsia" w:ascii="华文宋体" w:hAnsi="华文宋体" w:eastAsia="华文宋体" w:cs="华文宋体"/>
                <w:color w:val="auto"/>
                <w:sz w:val="23"/>
                <w:szCs w:val="23"/>
                <w:highlight w:val="none"/>
              </w:rPr>
            </w:pPr>
          </w:p>
        </w:tc>
        <w:tc>
          <w:tcPr>
            <w:tcW w:w="1856"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七、报价要求</w:t>
            </w:r>
          </w:p>
        </w:tc>
        <w:tc>
          <w:tcPr>
            <w:tcW w:w="34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70" w:type="dxa"/>
            <w:tcBorders>
              <w:top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见《响应文件》第</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88" w:type="dxa"/>
            <w:tcBorders>
              <w:top w:val="single" w:color="auto" w:sz="2" w:space="0"/>
              <w:left w:val="single" w:color="auto" w:sz="2" w:space="0"/>
              <w:bottom w:val="single" w:color="auto" w:sz="2" w:space="0"/>
            </w:tcBorders>
            <w:noWrap w:val="0"/>
            <w:vAlign w:val="center"/>
          </w:tcPr>
          <w:p>
            <w:pPr>
              <w:keepNext w:val="0"/>
              <w:keepLines w:val="0"/>
              <w:pageBreakBefore w:val="0"/>
              <w:widowControl w:val="0"/>
              <w:numPr>
                <w:ilvl w:val="0"/>
                <w:numId w:val="151"/>
              </w:numPr>
              <w:kinsoku/>
              <w:wordWrap/>
              <w:overflowPunct/>
              <w:topLinePunct w:val="0"/>
              <w:autoSpaceDE/>
              <w:autoSpaceDN/>
              <w:bidi w:val="0"/>
              <w:adjustRightInd/>
              <w:snapToGrid/>
              <w:spacing w:line="360" w:lineRule="exact"/>
              <w:jc w:val="left"/>
              <w:textAlignment w:val="auto"/>
              <w:rPr>
                <w:rFonts w:hint="eastAsia" w:ascii="华文宋体" w:hAnsi="华文宋体" w:eastAsia="华文宋体" w:cs="华文宋体"/>
                <w:color w:val="auto"/>
                <w:sz w:val="23"/>
                <w:szCs w:val="23"/>
                <w:highlight w:val="none"/>
              </w:rPr>
            </w:pPr>
          </w:p>
        </w:tc>
        <w:tc>
          <w:tcPr>
            <w:tcW w:w="1856"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八、其他说明</w:t>
            </w:r>
          </w:p>
        </w:tc>
        <w:tc>
          <w:tcPr>
            <w:tcW w:w="34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70" w:type="dxa"/>
            <w:tcBorders>
              <w:top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见《响应文件》第</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88" w:type="dxa"/>
            <w:tcBorders>
              <w:top w:val="single" w:color="auto" w:sz="2" w:space="0"/>
              <w:left w:val="single" w:color="auto" w:sz="2" w:space="0"/>
              <w:bottom w:val="single" w:color="auto" w:sz="2" w:space="0"/>
            </w:tcBorders>
            <w:noWrap w:val="0"/>
            <w:vAlign w:val="center"/>
          </w:tcPr>
          <w:p>
            <w:pPr>
              <w:keepNext w:val="0"/>
              <w:keepLines w:val="0"/>
              <w:pageBreakBefore w:val="0"/>
              <w:widowControl w:val="0"/>
              <w:numPr>
                <w:ilvl w:val="0"/>
                <w:numId w:val="151"/>
              </w:numPr>
              <w:kinsoku/>
              <w:wordWrap/>
              <w:overflowPunct/>
              <w:topLinePunct w:val="0"/>
              <w:autoSpaceDE/>
              <w:autoSpaceDN/>
              <w:bidi w:val="0"/>
              <w:adjustRightInd/>
              <w:snapToGrid/>
              <w:spacing w:line="360" w:lineRule="exact"/>
              <w:jc w:val="left"/>
              <w:textAlignment w:val="auto"/>
              <w:rPr>
                <w:rFonts w:hint="eastAsia" w:ascii="华文宋体" w:hAnsi="华文宋体" w:eastAsia="华文宋体" w:cs="华文宋体"/>
                <w:color w:val="auto"/>
                <w:sz w:val="23"/>
                <w:szCs w:val="23"/>
                <w:highlight w:val="none"/>
              </w:rPr>
            </w:pPr>
          </w:p>
        </w:tc>
        <w:tc>
          <w:tcPr>
            <w:tcW w:w="1856"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九、付款方式</w:t>
            </w:r>
          </w:p>
        </w:tc>
        <w:tc>
          <w:tcPr>
            <w:tcW w:w="34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31" w:type="dxa"/>
            <w:tcBorders>
              <w:top w:val="single" w:color="auto" w:sz="2" w:space="0"/>
              <w:bottom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p>
        </w:tc>
        <w:tc>
          <w:tcPr>
            <w:tcW w:w="1770" w:type="dxa"/>
            <w:tcBorders>
              <w:top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见《响应文件》第</w:t>
            </w:r>
            <w:r>
              <w:rPr>
                <w:rFonts w:hint="eastAsia" w:ascii="华文宋体" w:hAnsi="华文宋体" w:eastAsia="华文宋体" w:cs="华文宋体"/>
                <w:color w:val="auto"/>
                <w:sz w:val="23"/>
                <w:szCs w:val="23"/>
                <w:highlight w:val="none"/>
                <w:u w:val="single"/>
              </w:rPr>
              <w:t xml:space="preserve">  </w:t>
            </w:r>
            <w:r>
              <w:rPr>
                <w:rFonts w:hint="eastAsia" w:ascii="华文宋体" w:hAnsi="华文宋体" w:eastAsia="华文宋体" w:cs="华文宋体"/>
                <w:color w:val="auto"/>
                <w:sz w:val="23"/>
                <w:szCs w:val="23"/>
                <w:highlight w:val="none"/>
              </w:rPr>
              <w:t>页</w:t>
            </w:r>
          </w:p>
        </w:tc>
      </w:tr>
    </w:tbl>
    <w:p>
      <w:pPr>
        <w:spacing w:before="120" w:beforeLines="50" w:line="380" w:lineRule="exact"/>
        <w:ind w:right="72" w:rightChars="40"/>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备注：</w:t>
      </w:r>
    </w:p>
    <w:p>
      <w:pPr>
        <w:tabs>
          <w:tab w:val="left" w:pos="425"/>
        </w:tabs>
        <w:spacing w:line="380" w:lineRule="exact"/>
        <w:ind w:right="72" w:rightChars="40"/>
        <w:rPr>
          <w:rFonts w:hint="eastAsia" w:ascii="华文宋体" w:hAnsi="华文宋体" w:eastAsia="华文宋体" w:cs="华文宋体"/>
          <w:color w:val="auto"/>
          <w:highlight w:val="none"/>
        </w:rPr>
      </w:pPr>
      <w:r>
        <w:rPr>
          <w:rFonts w:hint="eastAsia" w:ascii="华文宋体" w:hAnsi="华文宋体" w:eastAsia="华文宋体" w:cs="华文宋体"/>
          <w:color w:val="auto"/>
          <w:sz w:val="22"/>
          <w:highlight w:val="none"/>
        </w:rPr>
        <w:t>1.供应商须根据《第二章 项目采购需求》中的内容逐条填写响应情况，如供应商出现填写的“竞争性磋商文件条款描述”的条款与《第二章 项目采购需求》中的条款描述不一致的，以《第二章 项目采购需求》中规定的为准。</w:t>
      </w:r>
    </w:p>
    <w:p>
      <w:pPr>
        <w:keepNext w:val="0"/>
        <w:keepLines w:val="0"/>
        <w:pageBreakBefore w:val="0"/>
        <w:widowControl w:val="0"/>
        <w:kinsoku/>
        <w:wordWrap/>
        <w:overflowPunct/>
        <w:topLinePunct w:val="0"/>
        <w:autoSpaceDE/>
        <w:autoSpaceDN/>
        <w:bidi w:val="0"/>
        <w:adjustRightInd w:val="0"/>
        <w:snapToGrid w:val="0"/>
        <w:spacing w:line="360" w:lineRule="auto"/>
        <w:ind w:left="3595" w:leftChars="1918" w:hanging="143" w:hangingChars="58"/>
        <w:textAlignment w:val="auto"/>
        <w:rPr>
          <w:rFonts w:hint="eastAsia" w:ascii="华文宋体" w:hAnsi="华文宋体" w:eastAsia="华文宋体" w:cs="华文宋体"/>
          <w:color w:val="auto"/>
          <w:sz w:val="24"/>
          <w:highlight w:val="none"/>
          <w:u w:val="single"/>
        </w:rPr>
      </w:pPr>
      <w:r>
        <w:rPr>
          <w:rFonts w:hint="eastAsia" w:ascii="华文宋体" w:hAnsi="华文宋体" w:eastAsia="华文宋体" w:cs="华文宋体"/>
          <w:color w:val="auto"/>
          <w:spacing w:val="4"/>
          <w:sz w:val="24"/>
          <w:highlight w:val="none"/>
        </w:rPr>
        <w:br w:type="textWrapping"/>
      </w:r>
      <w:r>
        <w:rPr>
          <w:rFonts w:hint="eastAsia" w:ascii="华文宋体" w:hAnsi="华文宋体" w:eastAsia="华文宋体" w:cs="华文宋体"/>
          <w:color w:val="auto"/>
          <w:spacing w:val="4"/>
          <w:sz w:val="24"/>
          <w:highlight w:val="none"/>
        </w:rPr>
        <w:t>供应商名称（公章）：</w:t>
      </w:r>
      <w:r>
        <w:rPr>
          <w:rFonts w:hint="eastAsia" w:ascii="华文宋体" w:hAnsi="华文宋体" w:eastAsia="华文宋体" w:cs="华文宋体"/>
          <w:color w:val="auto"/>
          <w:spacing w:val="4"/>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3578" w:firstLineChars="1443"/>
        <w:textAlignment w:val="auto"/>
        <w:rPr>
          <w:rFonts w:hint="eastAsia" w:ascii="华文宋体" w:hAnsi="华文宋体" w:eastAsia="华文宋体" w:cs="华文宋体"/>
          <w:color w:val="auto"/>
          <w:spacing w:val="4"/>
          <w:sz w:val="24"/>
          <w:highlight w:val="none"/>
          <w:u w:val="single"/>
        </w:rPr>
      </w:pPr>
      <w:r>
        <w:rPr>
          <w:rFonts w:hint="eastAsia" w:ascii="华文宋体" w:hAnsi="华文宋体" w:eastAsia="华文宋体" w:cs="华文宋体"/>
          <w:color w:val="auto"/>
          <w:spacing w:val="4"/>
          <w:sz w:val="24"/>
          <w:highlight w:val="none"/>
        </w:rPr>
        <w:t>法定代表人或其授权代表（签名）：</w:t>
      </w:r>
      <w:r>
        <w:rPr>
          <w:rFonts w:hint="eastAsia" w:ascii="华文宋体" w:hAnsi="华文宋体" w:eastAsia="华文宋体" w:cs="华文宋体"/>
          <w:color w:val="auto"/>
          <w:spacing w:val="4"/>
          <w:sz w:val="24"/>
          <w:highlight w:val="none"/>
          <w:u w:val="single"/>
        </w:rPr>
        <w:t xml:space="preserve">             </w:t>
      </w:r>
    </w:p>
    <w:p>
      <w:pPr>
        <w:adjustRightInd w:val="0"/>
        <w:snapToGrid w:val="0"/>
        <w:spacing w:line="480" w:lineRule="auto"/>
        <w:ind w:firstLine="3578" w:firstLineChars="1443"/>
        <w:rPr>
          <w:rFonts w:hint="eastAsia" w:ascii="华文宋体" w:hAnsi="华文宋体" w:eastAsia="华文宋体" w:cs="华文宋体"/>
          <w:b/>
          <w:color w:val="auto"/>
          <w:sz w:val="28"/>
          <w:szCs w:val="28"/>
          <w:highlight w:val="none"/>
          <w:lang w:bidi="ar"/>
        </w:rPr>
      </w:pPr>
      <w:r>
        <w:rPr>
          <w:rFonts w:hint="eastAsia" w:ascii="华文宋体" w:hAnsi="华文宋体" w:eastAsia="华文宋体" w:cs="华文宋体"/>
          <w:color w:val="auto"/>
          <w:spacing w:val="4"/>
          <w:sz w:val="24"/>
          <w:highlight w:val="none"/>
        </w:rPr>
        <w:t>日期：</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年</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月</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日</w:t>
      </w:r>
    </w:p>
    <w:p>
      <w:pPr>
        <w:bidi w:val="0"/>
        <w:rPr>
          <w:rFonts w:hint="eastAsia"/>
        </w:rPr>
      </w:pPr>
    </w:p>
    <w:p>
      <w:pPr>
        <w:pStyle w:val="9"/>
        <w:jc w:val="center"/>
        <w:rPr>
          <w:rFonts w:hint="eastAsia" w:ascii="华文宋体" w:hAnsi="华文宋体" w:eastAsia="华文宋体" w:cs="华文宋体"/>
          <w:b/>
          <w:color w:val="auto"/>
          <w:sz w:val="32"/>
          <w:szCs w:val="32"/>
          <w:highlight w:val="none"/>
          <w:lang w:bidi="ar"/>
        </w:rPr>
      </w:pPr>
      <w:r>
        <w:rPr>
          <w:rFonts w:hint="eastAsia" w:ascii="华文宋体" w:hAnsi="华文宋体" w:eastAsia="华文宋体" w:cs="华文宋体"/>
          <w:b/>
          <w:color w:val="auto"/>
          <w:sz w:val="32"/>
          <w:szCs w:val="32"/>
          <w:highlight w:val="none"/>
          <w:lang w:bidi="ar"/>
        </w:rPr>
        <w:t>拟投入本次项目团队成员一览表</w:t>
      </w: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bCs/>
          <w:color w:val="auto"/>
          <w:sz w:val="24"/>
          <w:highlight w:val="none"/>
          <w:u w:val="single"/>
        </w:rPr>
      </w:pPr>
      <w:r>
        <w:rPr>
          <w:rFonts w:hint="eastAsia" w:ascii="华文宋体" w:hAnsi="华文宋体" w:eastAsia="华文宋体" w:cs="华文宋体"/>
          <w:bCs/>
          <w:color w:val="auto"/>
          <w:sz w:val="24"/>
          <w:highlight w:val="none"/>
        </w:rPr>
        <w:t>项目名称：</w:t>
      </w:r>
      <w:r>
        <w:rPr>
          <w:rFonts w:hint="eastAsia" w:ascii="华文宋体" w:hAnsi="华文宋体" w:eastAsia="华文宋体" w:cs="华文宋体"/>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华文宋体" w:hAnsi="华文宋体" w:eastAsia="华文宋体" w:cs="华文宋体"/>
          <w:bCs/>
          <w:color w:val="auto"/>
          <w:sz w:val="24"/>
          <w:highlight w:val="none"/>
          <w:u w:val="single"/>
        </w:rPr>
      </w:pPr>
      <w:r>
        <w:rPr>
          <w:rFonts w:hint="eastAsia" w:ascii="华文宋体" w:hAnsi="华文宋体" w:eastAsia="华文宋体" w:cs="华文宋体"/>
          <w:bCs/>
          <w:color w:val="auto"/>
          <w:sz w:val="24"/>
          <w:highlight w:val="none"/>
        </w:rPr>
        <w:t>项目编号：</w:t>
      </w:r>
      <w:r>
        <w:rPr>
          <w:rFonts w:hint="eastAsia" w:ascii="华文宋体" w:hAnsi="华文宋体" w:eastAsia="华文宋体" w:cs="华文宋体"/>
          <w:bCs/>
          <w:color w:val="auto"/>
          <w:sz w:val="24"/>
          <w:highlight w:val="none"/>
          <w:u w:val="single"/>
        </w:rPr>
        <w:t xml:space="preserve">                            </w:t>
      </w:r>
    </w:p>
    <w:tbl>
      <w:tblPr>
        <w:tblStyle w:val="30"/>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014"/>
        <w:gridCol w:w="648"/>
        <w:gridCol w:w="573"/>
        <w:gridCol w:w="919"/>
        <w:gridCol w:w="1226"/>
        <w:gridCol w:w="978"/>
        <w:gridCol w:w="767"/>
        <w:gridCol w:w="1028"/>
        <w:gridCol w:w="1042"/>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418" w:type="dxa"/>
            <w:tcBorders>
              <w:top w:val="single" w:color="auto" w:sz="4" w:space="0"/>
              <w:left w:val="single" w:color="auto" w:sz="4" w:space="0"/>
              <w:bottom w:val="nil"/>
              <w:right w:val="single" w:color="auto" w:sz="4" w:space="0"/>
            </w:tcBorders>
            <w:shd w:val="clear" w:color="auto" w:fill="D7D7D7"/>
            <w:noWrap w:val="0"/>
            <w:vAlign w:val="center"/>
          </w:tcPr>
          <w:p>
            <w:pPr>
              <w:snapToGrid w:val="0"/>
              <w:ind w:left="-79" w:leftChars="-44" w:right="-68" w:rightChars="-38"/>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序号</w:t>
            </w:r>
          </w:p>
        </w:tc>
        <w:tc>
          <w:tcPr>
            <w:tcW w:w="1014" w:type="dxa"/>
            <w:tcBorders>
              <w:top w:val="single" w:color="auto" w:sz="4" w:space="0"/>
              <w:left w:val="single" w:color="auto" w:sz="4" w:space="0"/>
              <w:bottom w:val="nil"/>
              <w:right w:val="single" w:color="auto" w:sz="4" w:space="0"/>
            </w:tcBorders>
            <w:shd w:val="clear" w:color="auto" w:fill="D7D7D7"/>
            <w:noWrap w:val="0"/>
            <w:vAlign w:val="center"/>
          </w:tcPr>
          <w:p>
            <w:pPr>
              <w:snapToGrid w:val="0"/>
              <w:ind w:left="-79" w:leftChars="-44" w:right="-68" w:rightChars="-38"/>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姓名</w:t>
            </w:r>
          </w:p>
        </w:tc>
        <w:tc>
          <w:tcPr>
            <w:tcW w:w="648" w:type="dxa"/>
            <w:tcBorders>
              <w:top w:val="single" w:color="auto" w:sz="4" w:space="0"/>
              <w:left w:val="single" w:color="auto" w:sz="4" w:space="0"/>
              <w:bottom w:val="nil"/>
              <w:right w:val="single" w:color="auto" w:sz="4" w:space="0"/>
            </w:tcBorders>
            <w:shd w:val="clear" w:color="auto" w:fill="D7D7D7"/>
            <w:noWrap w:val="0"/>
            <w:vAlign w:val="center"/>
          </w:tcPr>
          <w:p>
            <w:pPr>
              <w:snapToGrid w:val="0"/>
              <w:ind w:left="-79" w:leftChars="-44" w:right="-68" w:rightChars="-38"/>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性别</w:t>
            </w:r>
          </w:p>
        </w:tc>
        <w:tc>
          <w:tcPr>
            <w:tcW w:w="573" w:type="dxa"/>
            <w:tcBorders>
              <w:top w:val="single" w:color="auto" w:sz="4" w:space="0"/>
              <w:left w:val="single" w:color="auto" w:sz="4" w:space="0"/>
              <w:bottom w:val="nil"/>
              <w:right w:val="single" w:color="auto" w:sz="4" w:space="0"/>
            </w:tcBorders>
            <w:shd w:val="clear" w:color="auto" w:fill="D7D7D7"/>
            <w:noWrap w:val="0"/>
            <w:vAlign w:val="center"/>
          </w:tcPr>
          <w:p>
            <w:pPr>
              <w:snapToGrid w:val="0"/>
              <w:ind w:left="-79" w:leftChars="-44" w:right="-68" w:rightChars="-38"/>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年龄</w:t>
            </w:r>
          </w:p>
        </w:tc>
        <w:tc>
          <w:tcPr>
            <w:tcW w:w="919" w:type="dxa"/>
            <w:tcBorders>
              <w:top w:val="single" w:color="auto" w:sz="4" w:space="0"/>
              <w:left w:val="single" w:color="auto" w:sz="4" w:space="0"/>
              <w:bottom w:val="nil"/>
              <w:right w:val="single" w:color="auto" w:sz="4" w:space="0"/>
            </w:tcBorders>
            <w:shd w:val="clear" w:color="auto" w:fill="D7D7D7"/>
            <w:noWrap w:val="0"/>
            <w:vAlign w:val="center"/>
          </w:tcPr>
          <w:p>
            <w:pPr>
              <w:snapToGrid w:val="0"/>
              <w:ind w:left="-79" w:leftChars="-44" w:right="-68" w:rightChars="-38"/>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学历</w:t>
            </w:r>
          </w:p>
        </w:tc>
        <w:tc>
          <w:tcPr>
            <w:tcW w:w="1226" w:type="dxa"/>
            <w:tcBorders>
              <w:top w:val="single" w:color="auto" w:sz="4" w:space="0"/>
              <w:left w:val="single" w:color="auto" w:sz="4" w:space="0"/>
              <w:bottom w:val="nil"/>
            </w:tcBorders>
            <w:shd w:val="clear" w:color="auto" w:fill="D7D7D7"/>
            <w:noWrap w:val="0"/>
            <w:vAlign w:val="center"/>
          </w:tcPr>
          <w:p>
            <w:pPr>
              <w:snapToGrid w:val="0"/>
              <w:ind w:left="-79" w:leftChars="-44" w:right="-68" w:rightChars="-38"/>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职称</w:t>
            </w:r>
          </w:p>
        </w:tc>
        <w:tc>
          <w:tcPr>
            <w:tcW w:w="978" w:type="dxa"/>
            <w:tcBorders>
              <w:top w:val="single" w:color="auto" w:sz="4" w:space="0"/>
              <w:bottom w:val="nil"/>
            </w:tcBorders>
            <w:shd w:val="clear" w:color="auto" w:fill="D7D7D7"/>
            <w:noWrap w:val="0"/>
            <w:vAlign w:val="center"/>
          </w:tcPr>
          <w:p>
            <w:pPr>
              <w:snapToGrid w:val="0"/>
              <w:ind w:left="-79" w:leftChars="-44" w:right="-68" w:rightChars="-38"/>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专业</w:t>
            </w:r>
          </w:p>
        </w:tc>
        <w:tc>
          <w:tcPr>
            <w:tcW w:w="767" w:type="dxa"/>
            <w:tcBorders>
              <w:top w:val="single" w:color="auto" w:sz="4" w:space="0"/>
              <w:bottom w:val="nil"/>
            </w:tcBorders>
            <w:shd w:val="clear" w:color="auto" w:fill="D7D7D7"/>
            <w:noWrap w:val="0"/>
            <w:vAlign w:val="center"/>
          </w:tcPr>
          <w:p>
            <w:pPr>
              <w:snapToGrid w:val="0"/>
              <w:ind w:left="-79" w:leftChars="-44" w:right="-68" w:rightChars="-38"/>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经验</w:t>
            </w:r>
            <w:r>
              <w:rPr>
                <w:rFonts w:hint="eastAsia" w:ascii="华文宋体" w:hAnsi="华文宋体" w:cs="华文宋体"/>
                <w:b/>
                <w:color w:val="auto"/>
                <w:sz w:val="23"/>
                <w:szCs w:val="23"/>
                <w:highlight w:val="none"/>
                <w:lang w:val="en-US" w:eastAsia="zh-CN"/>
              </w:rPr>
              <w:t xml:space="preserve"> </w:t>
            </w:r>
            <w:r>
              <w:rPr>
                <w:rFonts w:hint="eastAsia" w:ascii="华文宋体" w:hAnsi="华文宋体" w:eastAsia="华文宋体" w:cs="华文宋体"/>
                <w:b/>
                <w:color w:val="auto"/>
                <w:sz w:val="23"/>
                <w:szCs w:val="23"/>
                <w:highlight w:val="none"/>
              </w:rPr>
              <w:t>年限</w:t>
            </w:r>
          </w:p>
        </w:tc>
        <w:tc>
          <w:tcPr>
            <w:tcW w:w="1028" w:type="dxa"/>
            <w:tcBorders>
              <w:top w:val="single" w:color="auto" w:sz="4" w:space="0"/>
              <w:bottom w:val="nil"/>
              <w:right w:val="single" w:color="auto" w:sz="4" w:space="0"/>
            </w:tcBorders>
            <w:shd w:val="clear" w:color="auto" w:fill="D7D7D7"/>
            <w:noWrap w:val="0"/>
            <w:vAlign w:val="center"/>
          </w:tcPr>
          <w:p>
            <w:pPr>
              <w:snapToGrid w:val="0"/>
              <w:ind w:left="-79" w:leftChars="-44" w:right="-68" w:rightChars="-38"/>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担任职务</w:t>
            </w:r>
          </w:p>
        </w:tc>
        <w:tc>
          <w:tcPr>
            <w:tcW w:w="1042" w:type="dxa"/>
            <w:tcBorders>
              <w:top w:val="single" w:color="auto" w:sz="4" w:space="0"/>
              <w:bottom w:val="nil"/>
              <w:right w:val="single" w:color="auto" w:sz="4" w:space="0"/>
            </w:tcBorders>
            <w:shd w:val="clear" w:color="auto" w:fill="D7D7D7"/>
            <w:noWrap w:val="0"/>
            <w:vAlign w:val="center"/>
          </w:tcPr>
          <w:p>
            <w:pPr>
              <w:snapToGrid w:val="0"/>
              <w:ind w:left="-79" w:leftChars="-44" w:right="-68" w:rightChars="-38"/>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承担工作内容</w:t>
            </w:r>
          </w:p>
        </w:tc>
        <w:tc>
          <w:tcPr>
            <w:tcW w:w="1170" w:type="dxa"/>
            <w:tcBorders>
              <w:top w:val="single" w:color="auto" w:sz="4" w:space="0"/>
              <w:bottom w:val="nil"/>
              <w:right w:val="single" w:color="auto" w:sz="4" w:space="0"/>
            </w:tcBorders>
            <w:shd w:val="clear" w:color="auto" w:fill="D7D7D7"/>
            <w:noWrap w:val="0"/>
            <w:vAlign w:val="center"/>
          </w:tcPr>
          <w:p>
            <w:pPr>
              <w:snapToGrid w:val="0"/>
              <w:ind w:left="-79" w:leftChars="-44" w:right="-68" w:rightChars="-38"/>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18"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bCs/>
                <w:color w:val="auto"/>
                <w:sz w:val="23"/>
                <w:szCs w:val="23"/>
                <w:highlight w:val="none"/>
              </w:rPr>
            </w:pPr>
          </w:p>
        </w:tc>
        <w:tc>
          <w:tcPr>
            <w:tcW w:w="1014"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bCs/>
                <w:color w:val="auto"/>
                <w:sz w:val="23"/>
                <w:szCs w:val="23"/>
                <w:highlight w:val="none"/>
              </w:rPr>
            </w:pPr>
          </w:p>
        </w:tc>
        <w:tc>
          <w:tcPr>
            <w:tcW w:w="648"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bCs/>
                <w:color w:val="auto"/>
                <w:sz w:val="23"/>
                <w:szCs w:val="23"/>
                <w:highlight w:val="none"/>
              </w:rPr>
            </w:pPr>
          </w:p>
        </w:tc>
        <w:tc>
          <w:tcPr>
            <w:tcW w:w="573"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bCs/>
                <w:color w:val="auto"/>
                <w:sz w:val="23"/>
                <w:szCs w:val="23"/>
                <w:highlight w:val="none"/>
              </w:rPr>
            </w:pPr>
          </w:p>
        </w:tc>
        <w:tc>
          <w:tcPr>
            <w:tcW w:w="919"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226" w:type="dxa"/>
            <w:tcBorders>
              <w:lef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978" w:type="dxa"/>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767" w:type="dxa"/>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028" w:type="dxa"/>
            <w:tcBorders>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042" w:type="dxa"/>
            <w:tcBorders>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170" w:type="dxa"/>
            <w:tcBorders>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18"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1014"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648"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573"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919"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226" w:type="dxa"/>
            <w:tcBorders>
              <w:lef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978" w:type="dxa"/>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767" w:type="dxa"/>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028" w:type="dxa"/>
            <w:tcBorders>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042" w:type="dxa"/>
            <w:tcBorders>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170" w:type="dxa"/>
            <w:tcBorders>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18"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1014"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648"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573"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919"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226" w:type="dxa"/>
            <w:tcBorders>
              <w:lef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978" w:type="dxa"/>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767" w:type="dxa"/>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028" w:type="dxa"/>
            <w:tcBorders>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042" w:type="dxa"/>
            <w:tcBorders>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170" w:type="dxa"/>
            <w:tcBorders>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18"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014"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648"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573"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919"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226" w:type="dxa"/>
            <w:tcBorders>
              <w:lef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978" w:type="dxa"/>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767" w:type="dxa"/>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028" w:type="dxa"/>
            <w:tcBorders>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042" w:type="dxa"/>
            <w:tcBorders>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170" w:type="dxa"/>
            <w:tcBorders>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418"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014"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648"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573"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919"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226" w:type="dxa"/>
            <w:tcBorders>
              <w:lef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978" w:type="dxa"/>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767" w:type="dxa"/>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028" w:type="dxa"/>
            <w:tcBorders>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042" w:type="dxa"/>
            <w:tcBorders>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170" w:type="dxa"/>
            <w:tcBorders>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r>
    </w:tbl>
    <w:p>
      <w:pPr>
        <w:spacing w:before="120" w:beforeLines="50" w:line="360" w:lineRule="auto"/>
        <w:rPr>
          <w:rFonts w:hint="eastAsia" w:ascii="华文宋体" w:hAnsi="华文宋体" w:eastAsia="华文宋体" w:cs="华文宋体"/>
          <w:color w:val="auto"/>
          <w:sz w:val="22"/>
          <w:highlight w:val="none"/>
          <w:lang w:val="en-GB"/>
        </w:rPr>
      </w:pPr>
      <w:r>
        <w:rPr>
          <w:rFonts w:hint="eastAsia" w:ascii="华文宋体" w:hAnsi="华文宋体" w:eastAsia="华文宋体" w:cs="华文宋体"/>
          <w:color w:val="auto"/>
          <w:sz w:val="22"/>
          <w:highlight w:val="none"/>
        </w:rPr>
        <w:t>备</w:t>
      </w:r>
      <w:r>
        <w:rPr>
          <w:rFonts w:hint="eastAsia" w:ascii="华文宋体" w:hAnsi="华文宋体" w:eastAsia="华文宋体" w:cs="华文宋体"/>
          <w:color w:val="auto"/>
          <w:sz w:val="22"/>
          <w:highlight w:val="none"/>
          <w:lang w:val="en-GB"/>
        </w:rPr>
        <w:t>注：</w:t>
      </w:r>
    </w:p>
    <w:p>
      <w:pPr>
        <w:numPr>
          <w:ilvl w:val="0"/>
          <w:numId w:val="152"/>
        </w:numPr>
        <w:spacing w:line="360" w:lineRule="auto"/>
        <w:ind w:left="255" w:hanging="255"/>
        <w:rPr>
          <w:rFonts w:hint="eastAsia" w:ascii="华文宋体" w:hAnsi="华文宋体" w:eastAsia="华文宋体" w:cs="华文宋体"/>
          <w:color w:val="auto"/>
          <w:sz w:val="22"/>
          <w:highlight w:val="none"/>
          <w:lang w:val="en-GB"/>
        </w:rPr>
      </w:pPr>
      <w:r>
        <w:rPr>
          <w:rFonts w:hint="eastAsia" w:ascii="华文宋体" w:hAnsi="华文宋体" w:eastAsia="华文宋体" w:cs="华文宋体"/>
          <w:color w:val="auto"/>
          <w:sz w:val="22"/>
          <w:highlight w:val="none"/>
        </w:rPr>
        <w:t>内容格式仅供参考，可根据供应商情况自行设计</w:t>
      </w:r>
      <w:r>
        <w:rPr>
          <w:rFonts w:hint="eastAsia" w:ascii="华文宋体" w:hAnsi="华文宋体" w:eastAsia="华文宋体" w:cs="华文宋体"/>
          <w:color w:val="auto"/>
          <w:sz w:val="22"/>
          <w:highlight w:val="none"/>
          <w:lang w:val="en-GB"/>
        </w:rPr>
        <w:t>。</w:t>
      </w:r>
    </w:p>
    <w:p>
      <w:pPr>
        <w:rPr>
          <w:rFonts w:hint="eastAsia" w:ascii="华文宋体" w:hAnsi="华文宋体" w:eastAsia="华文宋体" w:cs="华文宋体"/>
          <w:color w:val="auto"/>
          <w:sz w:val="24"/>
          <w:highlight w:val="none"/>
          <w:lang w:val="en-GB"/>
        </w:rPr>
      </w:pPr>
    </w:p>
    <w:p>
      <w:pPr>
        <w:adjustRightInd w:val="0"/>
        <w:snapToGrid w:val="0"/>
        <w:spacing w:line="480" w:lineRule="auto"/>
        <w:ind w:firstLine="3779" w:firstLineChars="1524"/>
        <w:rPr>
          <w:rFonts w:hint="eastAsia" w:ascii="华文宋体" w:hAnsi="华文宋体" w:eastAsia="华文宋体" w:cs="华文宋体"/>
          <w:color w:val="auto"/>
          <w:sz w:val="24"/>
          <w:highlight w:val="none"/>
          <w:u w:val="single"/>
        </w:rPr>
      </w:pPr>
      <w:r>
        <w:rPr>
          <w:rFonts w:hint="eastAsia" w:ascii="华文宋体" w:hAnsi="华文宋体" w:eastAsia="华文宋体" w:cs="华文宋体"/>
          <w:color w:val="auto"/>
          <w:spacing w:val="4"/>
          <w:sz w:val="24"/>
          <w:highlight w:val="none"/>
        </w:rPr>
        <w:t>供应商名称（公章）：</w:t>
      </w:r>
      <w:r>
        <w:rPr>
          <w:rFonts w:hint="eastAsia" w:ascii="华文宋体" w:hAnsi="华文宋体" w:eastAsia="华文宋体" w:cs="华文宋体"/>
          <w:color w:val="auto"/>
          <w:spacing w:val="4"/>
          <w:sz w:val="24"/>
          <w:highlight w:val="none"/>
          <w:u w:val="single"/>
        </w:rPr>
        <w:t xml:space="preserve">                         </w:t>
      </w:r>
    </w:p>
    <w:p>
      <w:pPr>
        <w:adjustRightInd w:val="0"/>
        <w:snapToGrid w:val="0"/>
        <w:spacing w:line="480" w:lineRule="auto"/>
        <w:ind w:firstLine="3779" w:firstLineChars="1524"/>
        <w:rPr>
          <w:rFonts w:hint="eastAsia" w:ascii="华文宋体" w:hAnsi="华文宋体" w:eastAsia="华文宋体" w:cs="华文宋体"/>
          <w:color w:val="auto"/>
          <w:spacing w:val="4"/>
          <w:sz w:val="24"/>
          <w:highlight w:val="none"/>
          <w:u w:val="single"/>
        </w:rPr>
      </w:pPr>
      <w:r>
        <w:rPr>
          <w:rFonts w:hint="eastAsia" w:ascii="华文宋体" w:hAnsi="华文宋体" w:eastAsia="华文宋体" w:cs="华文宋体"/>
          <w:color w:val="auto"/>
          <w:spacing w:val="4"/>
          <w:sz w:val="24"/>
          <w:highlight w:val="none"/>
        </w:rPr>
        <w:t>法定代表人或其授权代表（签名）：</w:t>
      </w:r>
      <w:r>
        <w:rPr>
          <w:rFonts w:hint="eastAsia" w:ascii="华文宋体" w:hAnsi="华文宋体" w:eastAsia="华文宋体" w:cs="华文宋体"/>
          <w:color w:val="auto"/>
          <w:spacing w:val="4"/>
          <w:sz w:val="24"/>
          <w:highlight w:val="none"/>
          <w:u w:val="single"/>
        </w:rPr>
        <w:t xml:space="preserve">             </w:t>
      </w:r>
    </w:p>
    <w:p>
      <w:pPr>
        <w:adjustRightInd w:val="0"/>
        <w:snapToGrid w:val="0"/>
        <w:spacing w:line="360" w:lineRule="auto"/>
        <w:ind w:left="3728" w:leftChars="2071" w:right="480" w:firstLine="49" w:firstLineChars="20"/>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日期：</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年</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月</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日</w:t>
      </w:r>
    </w:p>
    <w:p>
      <w:pPr>
        <w:bidi w:val="0"/>
        <w:rPr>
          <w:rFonts w:hint="eastAsia"/>
        </w:rPr>
      </w:pPr>
      <w:r>
        <w:rPr>
          <w:rFonts w:hint="eastAsia" w:ascii="华文宋体" w:hAnsi="华文宋体" w:eastAsia="华文宋体" w:cs="华文宋体"/>
          <w:color w:val="auto"/>
          <w:spacing w:val="4"/>
          <w:highlight w:val="none"/>
        </w:rPr>
        <w:br w:type="page"/>
      </w:r>
    </w:p>
    <w:p>
      <w:pPr>
        <w:pStyle w:val="9"/>
        <w:jc w:val="center"/>
        <w:rPr>
          <w:rFonts w:hint="eastAsia" w:ascii="华文宋体" w:hAnsi="华文宋体" w:eastAsia="华文宋体" w:cs="华文宋体"/>
          <w:b/>
          <w:color w:val="auto"/>
          <w:sz w:val="32"/>
          <w:szCs w:val="32"/>
          <w:highlight w:val="none"/>
          <w:lang w:bidi="ar"/>
        </w:rPr>
      </w:pPr>
      <w:r>
        <w:rPr>
          <w:rFonts w:hint="eastAsia" w:ascii="华文宋体" w:hAnsi="华文宋体" w:eastAsia="华文宋体" w:cs="华文宋体"/>
          <w:b/>
          <w:color w:val="auto"/>
          <w:sz w:val="32"/>
          <w:szCs w:val="32"/>
          <w:highlight w:val="none"/>
          <w:lang w:bidi="ar"/>
        </w:rPr>
        <w:t>响应供应商证书一览表</w:t>
      </w: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宋体" w:hAnsi="华文宋体" w:eastAsia="华文宋体" w:cs="华文宋体"/>
          <w:bCs/>
          <w:color w:val="auto"/>
          <w:sz w:val="24"/>
          <w:highlight w:val="none"/>
          <w:u w:val="single"/>
        </w:rPr>
      </w:pPr>
      <w:r>
        <w:rPr>
          <w:rFonts w:hint="eastAsia" w:ascii="华文宋体" w:hAnsi="华文宋体" w:eastAsia="华文宋体" w:cs="华文宋体"/>
          <w:bCs/>
          <w:color w:val="auto"/>
          <w:sz w:val="24"/>
          <w:highlight w:val="none"/>
        </w:rPr>
        <w:t>项目名称：</w:t>
      </w:r>
      <w:r>
        <w:rPr>
          <w:rFonts w:hint="eastAsia" w:ascii="华文宋体" w:hAnsi="华文宋体" w:eastAsia="华文宋体" w:cs="华文宋体"/>
          <w:bCs/>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华文宋体" w:hAnsi="华文宋体" w:eastAsia="华文宋体" w:cs="华文宋体"/>
          <w:bCs/>
          <w:color w:val="auto"/>
          <w:sz w:val="24"/>
          <w:highlight w:val="none"/>
          <w:u w:val="single"/>
        </w:rPr>
      </w:pPr>
      <w:r>
        <w:rPr>
          <w:rFonts w:hint="eastAsia" w:ascii="华文宋体" w:hAnsi="华文宋体" w:eastAsia="华文宋体" w:cs="华文宋体"/>
          <w:bCs/>
          <w:color w:val="auto"/>
          <w:sz w:val="24"/>
          <w:highlight w:val="none"/>
        </w:rPr>
        <w:t>项目编号：</w:t>
      </w:r>
      <w:r>
        <w:rPr>
          <w:rFonts w:hint="eastAsia" w:ascii="华文宋体" w:hAnsi="华文宋体" w:eastAsia="华文宋体" w:cs="华文宋体"/>
          <w:bCs/>
          <w:color w:val="auto"/>
          <w:sz w:val="24"/>
          <w:highlight w:val="none"/>
          <w:u w:val="single"/>
        </w:rPr>
        <w:t xml:space="preserve">                            </w:t>
      </w:r>
    </w:p>
    <w:tbl>
      <w:tblPr>
        <w:tblStyle w:val="30"/>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140"/>
        <w:gridCol w:w="2193"/>
        <w:gridCol w:w="162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1765" w:type="dxa"/>
            <w:tcBorders>
              <w:top w:val="single" w:color="auto" w:sz="4" w:space="0"/>
              <w:left w:val="single" w:color="auto" w:sz="4" w:space="0"/>
              <w:bottom w:val="nil"/>
              <w:right w:val="single" w:color="auto" w:sz="4" w:space="0"/>
            </w:tcBorders>
            <w:shd w:val="clear" w:color="auto" w:fill="D7D7D7"/>
            <w:noWrap w:val="0"/>
            <w:vAlign w:val="center"/>
          </w:tcPr>
          <w:p>
            <w:pPr>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证书名称</w:t>
            </w:r>
          </w:p>
        </w:tc>
        <w:tc>
          <w:tcPr>
            <w:tcW w:w="2140" w:type="dxa"/>
            <w:tcBorders>
              <w:top w:val="single" w:color="auto" w:sz="4" w:space="0"/>
              <w:left w:val="single" w:color="auto" w:sz="4" w:space="0"/>
              <w:bottom w:val="nil"/>
              <w:right w:val="single" w:color="auto" w:sz="4" w:space="0"/>
            </w:tcBorders>
            <w:shd w:val="clear" w:color="auto" w:fill="D7D7D7"/>
            <w:noWrap w:val="0"/>
            <w:vAlign w:val="center"/>
          </w:tcPr>
          <w:p>
            <w:pPr>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发证单位</w:t>
            </w:r>
          </w:p>
        </w:tc>
        <w:tc>
          <w:tcPr>
            <w:tcW w:w="2193" w:type="dxa"/>
            <w:tcBorders>
              <w:top w:val="single" w:color="auto" w:sz="4" w:space="0"/>
              <w:left w:val="single" w:color="auto" w:sz="4" w:space="0"/>
              <w:bottom w:val="nil"/>
              <w:right w:val="single" w:color="auto" w:sz="4" w:space="0"/>
            </w:tcBorders>
            <w:shd w:val="clear" w:color="auto" w:fill="D7D7D7"/>
            <w:noWrap w:val="0"/>
            <w:vAlign w:val="center"/>
          </w:tcPr>
          <w:p>
            <w:pPr>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证书等级</w:t>
            </w:r>
          </w:p>
        </w:tc>
        <w:tc>
          <w:tcPr>
            <w:tcW w:w="1624" w:type="dxa"/>
            <w:tcBorders>
              <w:top w:val="single" w:color="auto" w:sz="4" w:space="0"/>
              <w:left w:val="single" w:color="auto" w:sz="4" w:space="0"/>
              <w:bottom w:val="nil"/>
              <w:right w:val="single" w:color="auto" w:sz="4" w:space="0"/>
            </w:tcBorders>
            <w:shd w:val="clear" w:color="auto" w:fill="D7D7D7"/>
            <w:noWrap w:val="0"/>
            <w:vAlign w:val="center"/>
          </w:tcPr>
          <w:p>
            <w:pPr>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证书有效期</w:t>
            </w:r>
          </w:p>
        </w:tc>
        <w:tc>
          <w:tcPr>
            <w:tcW w:w="1528" w:type="dxa"/>
            <w:tcBorders>
              <w:top w:val="single" w:color="auto" w:sz="4" w:space="0"/>
              <w:left w:val="single" w:color="auto" w:sz="4" w:space="0"/>
              <w:bottom w:val="nil"/>
              <w:right w:val="single" w:color="auto" w:sz="4" w:space="0"/>
            </w:tcBorders>
            <w:shd w:val="clear" w:color="auto" w:fill="D7D7D7"/>
            <w:noWrap w:val="0"/>
            <w:vAlign w:val="center"/>
          </w:tcPr>
          <w:p>
            <w:pPr>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
                <w:color w:val="auto"/>
                <w:sz w:val="23"/>
                <w:szCs w:val="23"/>
                <w:highlight w:val="none"/>
              </w:rPr>
              <w:t>查阅/指引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765"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bCs/>
                <w:color w:val="auto"/>
                <w:sz w:val="23"/>
                <w:szCs w:val="23"/>
                <w:highlight w:val="none"/>
              </w:rPr>
            </w:pPr>
          </w:p>
        </w:tc>
        <w:tc>
          <w:tcPr>
            <w:tcW w:w="2140"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bCs/>
                <w:color w:val="auto"/>
                <w:sz w:val="23"/>
                <w:szCs w:val="23"/>
                <w:highlight w:val="none"/>
              </w:rPr>
            </w:pPr>
          </w:p>
        </w:tc>
        <w:tc>
          <w:tcPr>
            <w:tcW w:w="2193"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bCs/>
                <w:color w:val="auto"/>
                <w:sz w:val="23"/>
                <w:szCs w:val="23"/>
                <w:highlight w:val="none"/>
              </w:rPr>
            </w:pPr>
          </w:p>
        </w:tc>
        <w:tc>
          <w:tcPr>
            <w:tcW w:w="1624"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bCs/>
                <w:color w:val="auto"/>
                <w:sz w:val="23"/>
                <w:szCs w:val="23"/>
                <w:highlight w:val="none"/>
              </w:rPr>
            </w:pPr>
          </w:p>
        </w:tc>
        <w:tc>
          <w:tcPr>
            <w:tcW w:w="1528"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765"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2140"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2193"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1624"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1528"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765"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2140"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2193"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1624" w:type="dxa"/>
            <w:tcBorders>
              <w:left w:val="single" w:color="auto" w:sz="4" w:space="0"/>
              <w:right w:val="single" w:color="auto" w:sz="4" w:space="0"/>
            </w:tcBorders>
            <w:noWrap w:val="0"/>
            <w:vAlign w:val="center"/>
          </w:tcPr>
          <w:p>
            <w:pPr>
              <w:spacing w:before="60" w:beforeLines="25" w:after="60" w:afterLines="25" w:line="340" w:lineRule="exact"/>
              <w:rPr>
                <w:rFonts w:hint="eastAsia" w:ascii="华文宋体" w:hAnsi="华文宋体" w:eastAsia="华文宋体" w:cs="华文宋体"/>
                <w:color w:val="auto"/>
                <w:sz w:val="23"/>
                <w:szCs w:val="23"/>
                <w:highlight w:val="none"/>
              </w:rPr>
            </w:pPr>
          </w:p>
        </w:tc>
        <w:tc>
          <w:tcPr>
            <w:tcW w:w="1528"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765"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2140"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2193"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624"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528"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765"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2140"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2193"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624"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c>
          <w:tcPr>
            <w:tcW w:w="1528" w:type="dxa"/>
            <w:tcBorders>
              <w:left w:val="single" w:color="auto" w:sz="4" w:space="0"/>
              <w:right w:val="single" w:color="auto" w:sz="4" w:space="0"/>
            </w:tcBorders>
            <w:noWrap w:val="0"/>
            <w:vAlign w:val="center"/>
          </w:tcPr>
          <w:p>
            <w:pPr>
              <w:spacing w:before="60" w:beforeLines="25" w:after="60" w:afterLines="25" w:line="340" w:lineRule="exact"/>
              <w:jc w:val="center"/>
              <w:rPr>
                <w:rFonts w:hint="eastAsia" w:ascii="华文宋体" w:hAnsi="华文宋体" w:eastAsia="华文宋体" w:cs="华文宋体"/>
                <w:color w:val="auto"/>
                <w:sz w:val="23"/>
                <w:szCs w:val="23"/>
                <w:highlight w:val="none"/>
              </w:rPr>
            </w:pPr>
          </w:p>
        </w:tc>
      </w:tr>
    </w:tbl>
    <w:p>
      <w:pPr>
        <w:spacing w:before="120" w:beforeLines="50" w:line="360" w:lineRule="auto"/>
        <w:rPr>
          <w:rFonts w:hint="eastAsia" w:ascii="华文宋体" w:hAnsi="华文宋体" w:eastAsia="华文宋体" w:cs="华文宋体"/>
          <w:color w:val="auto"/>
          <w:sz w:val="22"/>
          <w:highlight w:val="none"/>
          <w:lang w:val="en-GB"/>
        </w:rPr>
      </w:pPr>
      <w:r>
        <w:rPr>
          <w:rFonts w:hint="eastAsia" w:ascii="华文宋体" w:hAnsi="华文宋体" w:eastAsia="华文宋体" w:cs="华文宋体"/>
          <w:color w:val="auto"/>
          <w:sz w:val="22"/>
          <w:highlight w:val="none"/>
        </w:rPr>
        <w:t>备</w:t>
      </w:r>
      <w:r>
        <w:rPr>
          <w:rFonts w:hint="eastAsia" w:ascii="华文宋体" w:hAnsi="华文宋体" w:eastAsia="华文宋体" w:cs="华文宋体"/>
          <w:color w:val="auto"/>
          <w:sz w:val="22"/>
          <w:highlight w:val="none"/>
          <w:lang w:val="en-GB"/>
        </w:rPr>
        <w:t>注：</w:t>
      </w:r>
    </w:p>
    <w:p>
      <w:pPr>
        <w:numPr>
          <w:ilvl w:val="0"/>
          <w:numId w:val="153"/>
        </w:numPr>
        <w:spacing w:line="360" w:lineRule="auto"/>
        <w:ind w:leftChars="0"/>
        <w:rPr>
          <w:rFonts w:hint="eastAsia" w:ascii="华文宋体" w:hAnsi="华文宋体" w:eastAsia="华文宋体" w:cs="华文宋体"/>
          <w:color w:val="auto"/>
          <w:sz w:val="22"/>
          <w:highlight w:val="none"/>
          <w:lang w:val="en-GB"/>
        </w:rPr>
      </w:pPr>
      <w:r>
        <w:rPr>
          <w:rFonts w:hint="eastAsia" w:ascii="华文宋体" w:hAnsi="华文宋体" w:eastAsia="华文宋体" w:cs="华文宋体"/>
          <w:color w:val="auto"/>
          <w:sz w:val="22"/>
          <w:highlight w:val="none"/>
        </w:rPr>
        <w:t>内容格式仅供参考，可根据供应商情况自行设计</w:t>
      </w:r>
      <w:r>
        <w:rPr>
          <w:rFonts w:hint="eastAsia" w:ascii="华文宋体" w:hAnsi="华文宋体" w:eastAsia="华文宋体" w:cs="华文宋体"/>
          <w:color w:val="auto"/>
          <w:sz w:val="22"/>
          <w:highlight w:val="none"/>
          <w:lang w:val="en-GB"/>
        </w:rPr>
        <w:t>。</w:t>
      </w:r>
    </w:p>
    <w:p>
      <w:pPr>
        <w:rPr>
          <w:rFonts w:hint="eastAsia" w:ascii="华文宋体" w:hAnsi="华文宋体" w:eastAsia="华文宋体" w:cs="华文宋体"/>
          <w:color w:val="auto"/>
          <w:sz w:val="24"/>
          <w:highlight w:val="none"/>
          <w:lang w:val="en-GB"/>
        </w:rPr>
      </w:pPr>
    </w:p>
    <w:p>
      <w:pPr>
        <w:adjustRightInd w:val="0"/>
        <w:snapToGrid w:val="0"/>
        <w:spacing w:line="480" w:lineRule="auto"/>
        <w:ind w:firstLine="3779" w:firstLineChars="1524"/>
        <w:rPr>
          <w:rFonts w:hint="eastAsia" w:ascii="华文宋体" w:hAnsi="华文宋体" w:eastAsia="华文宋体" w:cs="华文宋体"/>
          <w:color w:val="auto"/>
          <w:sz w:val="24"/>
          <w:highlight w:val="none"/>
          <w:u w:val="single"/>
        </w:rPr>
      </w:pPr>
      <w:r>
        <w:rPr>
          <w:rFonts w:hint="eastAsia" w:ascii="华文宋体" w:hAnsi="华文宋体" w:eastAsia="华文宋体" w:cs="华文宋体"/>
          <w:color w:val="auto"/>
          <w:spacing w:val="4"/>
          <w:sz w:val="24"/>
          <w:highlight w:val="none"/>
        </w:rPr>
        <w:t>供应商名称（公章）：</w:t>
      </w:r>
      <w:r>
        <w:rPr>
          <w:rFonts w:hint="eastAsia" w:ascii="华文宋体" w:hAnsi="华文宋体" w:eastAsia="华文宋体" w:cs="华文宋体"/>
          <w:color w:val="auto"/>
          <w:spacing w:val="4"/>
          <w:sz w:val="24"/>
          <w:highlight w:val="none"/>
          <w:u w:val="single"/>
        </w:rPr>
        <w:t xml:space="preserve">                         </w:t>
      </w:r>
    </w:p>
    <w:p>
      <w:pPr>
        <w:adjustRightInd w:val="0"/>
        <w:snapToGrid w:val="0"/>
        <w:spacing w:line="480" w:lineRule="auto"/>
        <w:ind w:firstLine="3779" w:firstLineChars="1524"/>
        <w:rPr>
          <w:rFonts w:hint="eastAsia" w:ascii="华文宋体" w:hAnsi="华文宋体" w:eastAsia="华文宋体" w:cs="华文宋体"/>
          <w:color w:val="auto"/>
          <w:spacing w:val="4"/>
          <w:sz w:val="24"/>
          <w:highlight w:val="none"/>
          <w:u w:val="single"/>
        </w:rPr>
      </w:pPr>
      <w:r>
        <w:rPr>
          <w:rFonts w:hint="eastAsia" w:ascii="华文宋体" w:hAnsi="华文宋体" w:eastAsia="华文宋体" w:cs="华文宋体"/>
          <w:color w:val="auto"/>
          <w:spacing w:val="4"/>
          <w:sz w:val="24"/>
          <w:highlight w:val="none"/>
        </w:rPr>
        <w:t>法定代表人或其授权代表（签名）：</w:t>
      </w:r>
      <w:r>
        <w:rPr>
          <w:rFonts w:hint="eastAsia" w:ascii="华文宋体" w:hAnsi="华文宋体" w:eastAsia="华文宋体" w:cs="华文宋体"/>
          <w:color w:val="auto"/>
          <w:spacing w:val="4"/>
          <w:sz w:val="24"/>
          <w:highlight w:val="none"/>
          <w:u w:val="single"/>
        </w:rPr>
        <w:t xml:space="preserve">             </w:t>
      </w:r>
    </w:p>
    <w:p>
      <w:pPr>
        <w:adjustRightInd w:val="0"/>
        <w:snapToGrid w:val="0"/>
        <w:spacing w:line="360" w:lineRule="auto"/>
        <w:ind w:left="3728" w:leftChars="2071" w:right="480" w:firstLine="49" w:firstLineChars="20"/>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日期：</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年</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月</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日</w:t>
      </w:r>
    </w:p>
    <w:p>
      <w:pPr>
        <w:adjustRightInd w:val="0"/>
        <w:snapToGrid w:val="0"/>
        <w:spacing w:line="360" w:lineRule="auto"/>
        <w:ind w:left="3728" w:leftChars="2071" w:right="480" w:firstLine="49" w:firstLineChars="20"/>
        <w:rPr>
          <w:rFonts w:hint="eastAsia" w:ascii="华文宋体" w:hAnsi="华文宋体" w:eastAsia="华文宋体" w:cs="华文宋体"/>
          <w:color w:val="auto"/>
          <w:spacing w:val="4"/>
          <w:sz w:val="24"/>
          <w:highlight w:val="none"/>
        </w:rPr>
      </w:pPr>
    </w:p>
    <w:p>
      <w:pPr>
        <w:pStyle w:val="47"/>
        <w:rPr>
          <w:rFonts w:hint="eastAsia" w:ascii="华文宋体" w:hAnsi="华文宋体" w:eastAsia="华文宋体" w:cs="华文宋体"/>
          <w:color w:val="auto"/>
          <w:sz w:val="44"/>
          <w:szCs w:val="44"/>
          <w:highlight w:val="none"/>
        </w:rPr>
      </w:pPr>
    </w:p>
    <w:p>
      <w:pPr>
        <w:tabs>
          <w:tab w:val="left" w:pos="720"/>
        </w:tabs>
        <w:jc w:val="center"/>
        <w:rPr>
          <w:rFonts w:hint="eastAsia" w:ascii="华文宋体" w:hAnsi="华文宋体" w:eastAsia="华文宋体" w:cs="华文宋体"/>
          <w:color w:val="auto"/>
          <w:sz w:val="44"/>
          <w:szCs w:val="44"/>
          <w:highlight w:val="none"/>
        </w:rPr>
      </w:pPr>
    </w:p>
    <w:p>
      <w:pPr>
        <w:pStyle w:val="47"/>
        <w:rPr>
          <w:rFonts w:hint="eastAsia" w:ascii="华文宋体" w:hAnsi="华文宋体" w:eastAsia="华文宋体" w:cs="华文宋体"/>
          <w:color w:val="auto"/>
          <w:sz w:val="44"/>
          <w:szCs w:val="44"/>
          <w:highlight w:val="none"/>
        </w:rPr>
      </w:pPr>
    </w:p>
    <w:p>
      <w:pPr>
        <w:pStyle w:val="29"/>
        <w:ind w:firstLine="440"/>
        <w:rPr>
          <w:rFonts w:hint="eastAsia" w:ascii="华文宋体" w:hAnsi="华文宋体" w:eastAsia="华文宋体" w:cs="华文宋体"/>
          <w:color w:val="auto"/>
          <w:sz w:val="44"/>
          <w:szCs w:val="44"/>
          <w:highlight w:val="none"/>
        </w:rPr>
      </w:pPr>
    </w:p>
    <w:p>
      <w:pPr>
        <w:pStyle w:val="29"/>
        <w:ind w:firstLine="440"/>
        <w:rPr>
          <w:rFonts w:hint="eastAsia" w:ascii="华文宋体" w:hAnsi="华文宋体" w:eastAsia="华文宋体" w:cs="华文宋体"/>
          <w:color w:val="auto"/>
          <w:sz w:val="44"/>
          <w:szCs w:val="44"/>
          <w:highlight w:val="none"/>
        </w:rPr>
      </w:pPr>
    </w:p>
    <w:p>
      <w:pPr>
        <w:pStyle w:val="29"/>
        <w:ind w:firstLine="440"/>
        <w:rPr>
          <w:rFonts w:hint="eastAsia" w:ascii="华文宋体" w:hAnsi="华文宋体" w:eastAsia="华文宋体" w:cs="华文宋体"/>
          <w:color w:val="auto"/>
          <w:sz w:val="44"/>
          <w:szCs w:val="44"/>
          <w:highlight w:val="none"/>
        </w:rPr>
      </w:pPr>
    </w:p>
    <w:p>
      <w:pPr>
        <w:pStyle w:val="29"/>
        <w:ind w:firstLine="440"/>
        <w:rPr>
          <w:rFonts w:hint="eastAsia" w:ascii="华文宋体" w:hAnsi="华文宋体" w:eastAsia="华文宋体" w:cs="华文宋体"/>
          <w:color w:val="auto"/>
          <w:sz w:val="44"/>
          <w:szCs w:val="44"/>
          <w:highlight w:val="none"/>
        </w:rPr>
      </w:pPr>
    </w:p>
    <w:p>
      <w:pPr>
        <w:pStyle w:val="29"/>
        <w:ind w:firstLine="440"/>
        <w:rPr>
          <w:rFonts w:hint="eastAsia" w:ascii="华文宋体" w:hAnsi="华文宋体" w:eastAsia="华文宋体" w:cs="华文宋体"/>
          <w:color w:val="auto"/>
          <w:sz w:val="44"/>
          <w:szCs w:val="44"/>
          <w:highlight w:val="none"/>
        </w:rPr>
      </w:pPr>
    </w:p>
    <w:p>
      <w:pPr>
        <w:tabs>
          <w:tab w:val="left" w:pos="720"/>
        </w:tabs>
        <w:jc w:val="center"/>
        <w:rPr>
          <w:rFonts w:hint="eastAsia" w:ascii="华文宋体" w:hAnsi="华文宋体" w:eastAsia="华文宋体" w:cs="华文宋体"/>
          <w:color w:val="auto"/>
          <w:sz w:val="44"/>
          <w:szCs w:val="44"/>
          <w:highlight w:val="none"/>
        </w:rPr>
      </w:pPr>
    </w:p>
    <w:p>
      <w:pPr>
        <w:pStyle w:val="6"/>
        <w:tabs>
          <w:tab w:val="left" w:pos="720"/>
          <w:tab w:val="clear" w:pos="851"/>
        </w:tabs>
        <w:jc w:val="center"/>
        <w:rPr>
          <w:rFonts w:hint="eastAsia" w:ascii="华文宋体" w:hAnsi="华文宋体" w:eastAsia="华文宋体" w:cs="华文宋体"/>
          <w:b/>
          <w:bCs/>
          <w:color w:val="auto"/>
          <w:sz w:val="44"/>
          <w:szCs w:val="44"/>
          <w:highlight w:val="none"/>
        </w:rPr>
      </w:pPr>
      <w:r>
        <w:rPr>
          <w:rFonts w:hint="eastAsia" w:ascii="华文宋体" w:hAnsi="华文宋体" w:eastAsia="华文宋体" w:cs="华文宋体"/>
          <w:b/>
          <w:bCs/>
          <w:color w:val="auto"/>
          <w:sz w:val="44"/>
          <w:szCs w:val="44"/>
          <w:highlight w:val="none"/>
        </w:rPr>
        <w:t>（四）技术文件</w:t>
      </w:r>
    </w:p>
    <w:p>
      <w:pPr>
        <w:rPr>
          <w:rFonts w:hint="eastAsia" w:ascii="华文宋体" w:hAnsi="华文宋体" w:eastAsia="华文宋体" w:cs="华文宋体"/>
          <w:bCs/>
          <w:color w:val="auto"/>
          <w:szCs w:val="21"/>
          <w:highlight w:val="none"/>
        </w:rPr>
      </w:pPr>
    </w:p>
    <w:p>
      <w:pPr>
        <w:rPr>
          <w:rFonts w:hint="eastAsia" w:ascii="华文宋体" w:hAnsi="华文宋体" w:eastAsia="华文宋体" w:cs="华文宋体"/>
          <w:bCs/>
          <w:color w:val="auto"/>
          <w:szCs w:val="21"/>
          <w:highlight w:val="none"/>
        </w:rPr>
      </w:pPr>
    </w:p>
    <w:p>
      <w:pPr>
        <w:keepNext w:val="0"/>
        <w:keepLines w:val="0"/>
        <w:pageBreakBefore w:val="0"/>
        <w:widowControl w:val="0"/>
        <w:tabs>
          <w:tab w:val="left" w:pos="0"/>
          <w:tab w:val="left" w:pos="1530"/>
        </w:tabs>
        <w:kinsoku/>
        <w:wordWrap/>
        <w:overflowPunct/>
        <w:topLinePunct w:val="0"/>
        <w:autoSpaceDE/>
        <w:autoSpaceDN/>
        <w:bidi w:val="0"/>
        <w:adjustRightInd/>
        <w:snapToGrid/>
        <w:spacing w:before="157" w:beforeLines="50" w:after="240" w:afterLines="100"/>
        <w:jc w:val="center"/>
        <w:textAlignment w:val="auto"/>
        <w:rPr>
          <w:rFonts w:hint="eastAsia" w:ascii="华文宋体" w:hAnsi="华文宋体" w:eastAsia="华文宋体" w:cs="华文宋体"/>
          <w:b/>
          <w:color w:val="auto"/>
          <w:sz w:val="32"/>
          <w:szCs w:val="32"/>
          <w:highlight w:val="none"/>
        </w:rPr>
      </w:pPr>
      <w:r>
        <w:rPr>
          <w:rFonts w:hint="eastAsia" w:ascii="华文宋体" w:hAnsi="华文宋体" w:eastAsia="华文宋体" w:cs="华文宋体"/>
          <w:bCs/>
          <w:color w:val="auto"/>
          <w:szCs w:val="21"/>
          <w:highlight w:val="none"/>
        </w:rPr>
        <w:br w:type="page"/>
      </w:r>
      <w:r>
        <w:rPr>
          <w:rFonts w:hint="eastAsia" w:ascii="华文宋体" w:hAnsi="华文宋体" w:eastAsia="华文宋体" w:cs="华文宋体"/>
          <w:b/>
          <w:color w:val="auto"/>
          <w:sz w:val="32"/>
          <w:szCs w:val="32"/>
          <w:highlight w:val="none"/>
        </w:rPr>
        <w:t>技术评审自查表</w:t>
      </w:r>
    </w:p>
    <w:tbl>
      <w:tblPr>
        <w:tblStyle w:val="30"/>
        <w:tblW w:w="9224"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35"/>
        <w:gridCol w:w="1462"/>
        <w:gridCol w:w="5835"/>
        <w:gridCol w:w="1392"/>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9" w:hRule="atLeast"/>
          <w:tblHeader/>
          <w:jc w:val="center"/>
        </w:trPr>
        <w:tc>
          <w:tcPr>
            <w:tcW w:w="535" w:type="dxa"/>
            <w:tcBorders>
              <w:top w:val="single" w:color="auto" w:sz="6" w:space="0"/>
              <w:left w:val="single" w:color="auto" w:sz="6" w:space="0"/>
              <w:bottom w:val="single" w:color="auto" w:sz="4" w:space="0"/>
              <w:right w:val="single" w:color="auto" w:sz="6" w:space="0"/>
            </w:tcBorders>
            <w:shd w:val="clear" w:color="auto" w:fill="D7D7D7"/>
            <w:noWrap w:val="0"/>
            <w:vAlign w:val="center"/>
          </w:tcPr>
          <w:p>
            <w:pPr>
              <w:spacing w:line="40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序号</w:t>
            </w:r>
          </w:p>
        </w:tc>
        <w:tc>
          <w:tcPr>
            <w:tcW w:w="1462" w:type="dxa"/>
            <w:tcBorders>
              <w:top w:val="single" w:color="auto" w:sz="6" w:space="0"/>
              <w:left w:val="single" w:color="auto" w:sz="6" w:space="0"/>
              <w:bottom w:val="single" w:color="auto" w:sz="4" w:space="0"/>
              <w:right w:val="single" w:color="auto" w:sz="6" w:space="0"/>
            </w:tcBorders>
            <w:shd w:val="clear" w:color="auto" w:fill="D7D7D7"/>
            <w:noWrap w:val="0"/>
            <w:vAlign w:val="center"/>
          </w:tcPr>
          <w:p>
            <w:pPr>
              <w:spacing w:line="40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技术评审内容</w:t>
            </w:r>
          </w:p>
        </w:tc>
        <w:tc>
          <w:tcPr>
            <w:tcW w:w="5835" w:type="dxa"/>
            <w:tcBorders>
              <w:top w:val="single" w:color="auto" w:sz="6" w:space="0"/>
              <w:left w:val="single" w:color="auto" w:sz="6" w:space="0"/>
              <w:bottom w:val="single" w:color="auto" w:sz="4" w:space="0"/>
              <w:right w:val="single" w:color="auto" w:sz="6" w:space="0"/>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400" w:lineRule="exact"/>
              <w:ind w:left="36" w:leftChars="20" w:right="36" w:rightChars="20"/>
              <w:jc w:val="center"/>
              <w:textAlignment w:val="auto"/>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评分细则</w:t>
            </w:r>
          </w:p>
        </w:tc>
        <w:tc>
          <w:tcPr>
            <w:tcW w:w="1392" w:type="dxa"/>
            <w:tcBorders>
              <w:top w:val="single" w:color="auto" w:sz="6" w:space="0"/>
              <w:left w:val="single" w:color="auto" w:sz="6" w:space="0"/>
              <w:bottom w:val="single" w:color="auto" w:sz="4" w:space="0"/>
              <w:right w:val="single" w:color="auto" w:sz="6" w:space="0"/>
            </w:tcBorders>
            <w:shd w:val="clear" w:color="auto" w:fill="D7D7D7"/>
            <w:noWrap w:val="0"/>
            <w:vAlign w:val="center"/>
          </w:tcPr>
          <w:p>
            <w:pPr>
              <w:spacing w:line="400" w:lineRule="exact"/>
              <w:jc w:val="center"/>
              <w:rPr>
                <w:rFonts w:hint="eastAsia" w:ascii="华文宋体" w:hAnsi="华文宋体" w:eastAsia="华文宋体" w:cs="华文宋体"/>
                <w:b/>
                <w:bCs/>
                <w:color w:val="auto"/>
                <w:sz w:val="23"/>
                <w:szCs w:val="23"/>
                <w:highlight w:val="none"/>
              </w:rPr>
            </w:pPr>
            <w:r>
              <w:rPr>
                <w:rFonts w:hint="eastAsia" w:ascii="华文宋体" w:hAnsi="华文宋体" w:eastAsia="华文宋体" w:cs="华文宋体"/>
                <w:b/>
                <w:bCs/>
                <w:color w:val="auto"/>
                <w:sz w:val="23"/>
                <w:szCs w:val="23"/>
                <w:highlight w:val="none"/>
              </w:rPr>
              <w:t>页码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numPr>
                <w:ilvl w:val="0"/>
                <w:numId w:val="154"/>
              </w:numPr>
              <w:spacing w:line="400" w:lineRule="exact"/>
              <w:jc w:val="right"/>
              <w:rPr>
                <w:rFonts w:hint="eastAsia" w:ascii="华文宋体" w:hAnsi="华文宋体" w:eastAsia="华文宋体" w:cs="华文宋体"/>
                <w:color w:val="auto"/>
                <w:sz w:val="23"/>
                <w:szCs w:val="23"/>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ind w:left="27" w:leftChars="15" w:right="27" w:rightChars="15"/>
              <w:jc w:val="center"/>
              <w:rPr>
                <w:rFonts w:hint="eastAsia" w:ascii="华文宋体" w:hAnsi="华文宋体" w:eastAsia="华文宋体" w:cs="华文宋体"/>
                <w:color w:val="auto"/>
                <w:kern w:val="0"/>
                <w:sz w:val="23"/>
                <w:szCs w:val="23"/>
                <w:highlight w:val="none"/>
              </w:rPr>
            </w:pPr>
            <w:r>
              <w:rPr>
                <w:rFonts w:hint="eastAsia" w:ascii="华文宋体" w:hAnsi="华文宋体" w:eastAsia="华文宋体" w:cs="华文宋体"/>
                <w:color w:val="auto"/>
                <w:kern w:val="0"/>
                <w:sz w:val="23"/>
                <w:szCs w:val="23"/>
                <w:highlight w:val="none"/>
                <w:lang w:bidi="ar"/>
              </w:rPr>
              <w:t>总体服务方案</w:t>
            </w:r>
          </w:p>
        </w:tc>
        <w:tc>
          <w:tcPr>
            <w:tcW w:w="5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ind w:left="36" w:leftChars="20" w:right="36" w:rightChars="20"/>
              <w:jc w:val="left"/>
              <w:textAlignment w:val="auto"/>
              <w:rPr>
                <w:rFonts w:hint="eastAsia" w:ascii="华文宋体" w:hAnsi="华文宋体" w:eastAsia="华文宋体" w:cs="华文宋体"/>
                <w:color w:val="auto"/>
                <w:kern w:val="0"/>
                <w:sz w:val="23"/>
                <w:szCs w:val="23"/>
                <w:highlight w:val="none"/>
                <w:lang w:bidi="ar"/>
              </w:rPr>
            </w:pPr>
            <w:r>
              <w:rPr>
                <w:rFonts w:hint="eastAsia" w:ascii="华文宋体" w:hAnsi="华文宋体" w:eastAsia="华文宋体" w:cs="华文宋体"/>
                <w:color w:val="auto"/>
                <w:sz w:val="23"/>
                <w:szCs w:val="23"/>
                <w:highlight w:val="none"/>
              </w:rPr>
              <w:t>响应供应商针对本项目服务质量保证措施、售后服务的完善程度和保障措施等进行评审：</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kern w:val="0"/>
                <w:sz w:val="23"/>
                <w:szCs w:val="23"/>
                <w:highlight w:val="none"/>
                <w:lang w:bidi="ar"/>
              </w:rPr>
            </w:pPr>
            <w:r>
              <w:rPr>
                <w:rFonts w:hint="eastAsia" w:ascii="华文宋体" w:hAnsi="华文宋体" w:cs="华文宋体"/>
                <w:color w:val="auto"/>
                <w:kern w:val="0"/>
                <w:sz w:val="23"/>
                <w:szCs w:val="23"/>
                <w:highlight w:val="none"/>
                <w:lang w:val="en-US" w:eastAsia="zh-CN" w:bidi="ar"/>
              </w:rPr>
              <w:t>1、</w:t>
            </w:r>
            <w:r>
              <w:rPr>
                <w:rFonts w:hint="eastAsia" w:ascii="华文宋体" w:hAnsi="华文宋体" w:eastAsia="华文宋体" w:cs="华文宋体"/>
                <w:color w:val="auto"/>
                <w:kern w:val="0"/>
                <w:sz w:val="23"/>
                <w:szCs w:val="23"/>
                <w:highlight w:val="none"/>
                <w:lang w:bidi="ar"/>
              </w:rPr>
              <w:t>总体服务方案非常详细，可行性强，得12分；</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kern w:val="0"/>
                <w:sz w:val="23"/>
                <w:szCs w:val="23"/>
                <w:highlight w:val="none"/>
                <w:lang w:bidi="ar"/>
              </w:rPr>
            </w:pPr>
            <w:r>
              <w:rPr>
                <w:rFonts w:hint="eastAsia" w:ascii="华文宋体" w:hAnsi="华文宋体" w:cs="华文宋体"/>
                <w:color w:val="auto"/>
                <w:kern w:val="0"/>
                <w:sz w:val="23"/>
                <w:szCs w:val="23"/>
                <w:highlight w:val="none"/>
                <w:lang w:val="en-US" w:eastAsia="zh-CN" w:bidi="ar"/>
              </w:rPr>
              <w:t>2、</w:t>
            </w:r>
            <w:r>
              <w:rPr>
                <w:rFonts w:hint="eastAsia" w:ascii="华文宋体" w:hAnsi="华文宋体" w:eastAsia="华文宋体" w:cs="华文宋体"/>
                <w:color w:val="auto"/>
                <w:kern w:val="0"/>
                <w:sz w:val="23"/>
                <w:szCs w:val="23"/>
                <w:highlight w:val="none"/>
                <w:lang w:bidi="ar"/>
              </w:rPr>
              <w:t>总体服务方案比较详细、可行性比较强，得7分；</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kern w:val="0"/>
                <w:sz w:val="23"/>
                <w:szCs w:val="23"/>
                <w:highlight w:val="none"/>
                <w:lang w:bidi="ar"/>
              </w:rPr>
            </w:pPr>
            <w:r>
              <w:rPr>
                <w:rFonts w:hint="eastAsia" w:ascii="华文宋体" w:hAnsi="华文宋体" w:cs="华文宋体"/>
                <w:color w:val="auto"/>
                <w:kern w:val="0"/>
                <w:sz w:val="23"/>
                <w:szCs w:val="23"/>
                <w:highlight w:val="none"/>
                <w:lang w:val="en-US" w:eastAsia="zh-CN" w:bidi="ar"/>
              </w:rPr>
              <w:t>3、</w:t>
            </w:r>
            <w:r>
              <w:rPr>
                <w:rFonts w:hint="eastAsia" w:ascii="华文宋体" w:hAnsi="华文宋体" w:eastAsia="华文宋体" w:cs="华文宋体"/>
                <w:color w:val="auto"/>
                <w:kern w:val="0"/>
                <w:sz w:val="23"/>
                <w:szCs w:val="23"/>
                <w:highlight w:val="none"/>
                <w:lang w:bidi="ar"/>
              </w:rPr>
              <w:t>总体服务方案基本详细，可行性一般，得3分；</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kern w:val="0"/>
                <w:sz w:val="23"/>
                <w:szCs w:val="23"/>
                <w:highlight w:val="none"/>
              </w:rPr>
            </w:pPr>
            <w:r>
              <w:rPr>
                <w:rFonts w:hint="eastAsia" w:ascii="华文宋体" w:hAnsi="华文宋体" w:cs="华文宋体"/>
                <w:color w:val="auto"/>
                <w:kern w:val="0"/>
                <w:sz w:val="23"/>
                <w:szCs w:val="23"/>
                <w:highlight w:val="none"/>
                <w:lang w:val="en-US" w:eastAsia="zh-CN" w:bidi="ar"/>
              </w:rPr>
              <w:t>4、</w:t>
            </w:r>
            <w:r>
              <w:rPr>
                <w:rFonts w:hint="eastAsia" w:ascii="华文宋体" w:hAnsi="华文宋体" w:eastAsia="华文宋体" w:cs="华文宋体"/>
                <w:color w:val="auto"/>
                <w:kern w:val="0"/>
                <w:sz w:val="23"/>
                <w:szCs w:val="23"/>
                <w:highlight w:val="none"/>
                <w:lang w:bidi="ar"/>
              </w:rPr>
              <w:t>未提供总体服务方案得0分。</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华文宋体" w:hAnsi="华文宋体" w:eastAsia="华文宋体" w:cs="华文宋体"/>
                <w:color w:val="auto"/>
                <w:sz w:val="23"/>
                <w:szCs w:val="23"/>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pPr>
              <w:numPr>
                <w:ilvl w:val="0"/>
                <w:numId w:val="154"/>
              </w:numPr>
              <w:spacing w:line="400" w:lineRule="exact"/>
              <w:jc w:val="right"/>
              <w:rPr>
                <w:rFonts w:hint="eastAsia" w:ascii="华文宋体" w:hAnsi="华文宋体" w:eastAsia="华文宋体" w:cs="华文宋体"/>
                <w:color w:val="auto"/>
                <w:sz w:val="23"/>
                <w:szCs w:val="23"/>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pPr>
              <w:spacing w:line="350" w:lineRule="exact"/>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质量保证措施和售后服务方案</w:t>
            </w:r>
          </w:p>
        </w:tc>
        <w:tc>
          <w:tcPr>
            <w:tcW w:w="5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响应供应商针对本项目服务质量保证措施、售后服务的完善程度和保障措施等进行评审：</w:t>
            </w:r>
          </w:p>
          <w:p>
            <w:pPr>
              <w:keepNext w:val="0"/>
              <w:keepLines w:val="0"/>
              <w:pageBreakBefore w:val="0"/>
              <w:kinsoku/>
              <w:wordWrap/>
              <w:overflowPunct/>
              <w:topLinePunct w:val="0"/>
              <w:autoSpaceDE/>
              <w:autoSpaceDN/>
              <w:bidi w:val="0"/>
              <w:adjustRightInd/>
              <w:snapToGrid/>
              <w:spacing w:line="35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1、</w:t>
            </w:r>
            <w:r>
              <w:rPr>
                <w:rFonts w:hint="eastAsia" w:ascii="华文宋体" w:hAnsi="华文宋体" w:eastAsia="华文宋体" w:cs="华文宋体"/>
                <w:color w:val="auto"/>
                <w:sz w:val="23"/>
                <w:szCs w:val="23"/>
                <w:highlight w:val="none"/>
              </w:rPr>
              <w:t>质量保证措施有力、完善，且具有良好的售后服务体系和服务方案得10分；</w:t>
            </w:r>
          </w:p>
          <w:p>
            <w:pPr>
              <w:keepNext w:val="0"/>
              <w:keepLines w:val="0"/>
              <w:pageBreakBefore w:val="0"/>
              <w:kinsoku/>
              <w:wordWrap/>
              <w:overflowPunct/>
              <w:topLinePunct w:val="0"/>
              <w:autoSpaceDE/>
              <w:autoSpaceDN/>
              <w:bidi w:val="0"/>
              <w:adjustRightInd/>
              <w:snapToGrid/>
              <w:spacing w:line="35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2、</w:t>
            </w:r>
            <w:r>
              <w:rPr>
                <w:rFonts w:hint="eastAsia" w:ascii="华文宋体" w:hAnsi="华文宋体" w:eastAsia="华文宋体" w:cs="华文宋体"/>
                <w:color w:val="auto"/>
                <w:sz w:val="23"/>
                <w:szCs w:val="23"/>
                <w:highlight w:val="none"/>
              </w:rPr>
              <w:t>质量保证措施、售后服务体系和服务方案基本满足需求得5分；</w:t>
            </w:r>
          </w:p>
          <w:p>
            <w:pPr>
              <w:keepNext w:val="0"/>
              <w:keepLines w:val="0"/>
              <w:pageBreakBefore w:val="0"/>
              <w:kinsoku/>
              <w:wordWrap/>
              <w:overflowPunct/>
              <w:topLinePunct w:val="0"/>
              <w:autoSpaceDE/>
              <w:autoSpaceDN/>
              <w:bidi w:val="0"/>
              <w:adjustRightInd/>
              <w:snapToGrid/>
              <w:spacing w:line="35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3、</w:t>
            </w:r>
            <w:r>
              <w:rPr>
                <w:rFonts w:hint="eastAsia" w:ascii="华文宋体" w:hAnsi="华文宋体" w:eastAsia="华文宋体" w:cs="华文宋体"/>
                <w:color w:val="auto"/>
                <w:sz w:val="23"/>
                <w:szCs w:val="23"/>
                <w:highlight w:val="none"/>
              </w:rPr>
              <w:t>质量保证措施、售后服务体系和服务方案一般、相对简单得1分；</w:t>
            </w:r>
          </w:p>
          <w:p>
            <w:pPr>
              <w:keepNext w:val="0"/>
              <w:keepLines w:val="0"/>
              <w:pageBreakBefore w:val="0"/>
              <w:kinsoku/>
              <w:wordWrap/>
              <w:overflowPunct/>
              <w:topLinePunct w:val="0"/>
              <w:autoSpaceDE/>
              <w:autoSpaceDN/>
              <w:bidi w:val="0"/>
              <w:adjustRightInd/>
              <w:snapToGrid/>
              <w:spacing w:line="35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4、</w:t>
            </w:r>
            <w:r>
              <w:rPr>
                <w:rFonts w:hint="eastAsia" w:ascii="华文宋体" w:hAnsi="华文宋体" w:eastAsia="华文宋体" w:cs="华文宋体"/>
                <w:color w:val="auto"/>
                <w:sz w:val="23"/>
                <w:szCs w:val="23"/>
                <w:highlight w:val="none"/>
              </w:rPr>
              <w:t>未提供售后服务方案得0分。</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华文宋体" w:hAnsi="华文宋体" w:eastAsia="华文宋体" w:cs="华文宋体"/>
                <w:color w:val="auto"/>
                <w:sz w:val="23"/>
                <w:szCs w:val="23"/>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5" w:type="dxa"/>
            <w:tcBorders>
              <w:top w:val="single" w:color="auto" w:sz="4" w:space="0"/>
              <w:left w:val="single" w:color="auto" w:sz="6" w:space="0"/>
              <w:bottom w:val="single" w:color="auto" w:sz="6" w:space="0"/>
              <w:right w:val="single" w:color="auto" w:sz="4" w:space="0"/>
            </w:tcBorders>
            <w:noWrap w:val="0"/>
            <w:vAlign w:val="center"/>
          </w:tcPr>
          <w:p>
            <w:pPr>
              <w:numPr>
                <w:ilvl w:val="0"/>
                <w:numId w:val="154"/>
              </w:numPr>
              <w:spacing w:line="400" w:lineRule="exact"/>
              <w:jc w:val="right"/>
              <w:rPr>
                <w:rFonts w:hint="eastAsia" w:ascii="华文宋体" w:hAnsi="华文宋体" w:eastAsia="华文宋体" w:cs="华文宋体"/>
                <w:color w:val="auto"/>
                <w:sz w:val="23"/>
                <w:szCs w:val="23"/>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pPr>
              <w:spacing w:line="350" w:lineRule="exact"/>
              <w:ind w:left="18" w:leftChars="10" w:right="18" w:rightChars="10"/>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管理规章制度</w:t>
            </w:r>
          </w:p>
        </w:tc>
        <w:tc>
          <w:tcPr>
            <w:tcW w:w="5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响应供应商针对本项目管理规章制度（包括但不限于组织体系及机构设置、管理规章制度、流程规定等）的完善程度和保障措施等进行评审：</w:t>
            </w:r>
          </w:p>
          <w:p>
            <w:pPr>
              <w:keepNext w:val="0"/>
              <w:keepLines w:val="0"/>
              <w:pageBreakBefore w:val="0"/>
              <w:numPr>
                <w:ilvl w:val="0"/>
                <w:numId w:val="0"/>
              </w:numPr>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1、</w:t>
            </w:r>
            <w:r>
              <w:rPr>
                <w:rFonts w:hint="eastAsia" w:ascii="华文宋体" w:hAnsi="华文宋体" w:eastAsia="华文宋体" w:cs="华文宋体"/>
                <w:color w:val="auto"/>
                <w:sz w:val="23"/>
                <w:szCs w:val="23"/>
                <w:highlight w:val="none"/>
              </w:rPr>
              <w:t>根据各响应供应商的管理规章制度健全性、科学性进行评审：</w:t>
            </w:r>
          </w:p>
          <w:p>
            <w:pPr>
              <w:keepNext w:val="0"/>
              <w:keepLines w:val="0"/>
              <w:pageBreakBefore w:val="0"/>
              <w:numPr>
                <w:ilvl w:val="0"/>
                <w:numId w:val="0"/>
              </w:numPr>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2、</w:t>
            </w:r>
            <w:r>
              <w:rPr>
                <w:rFonts w:hint="eastAsia" w:ascii="华文宋体" w:hAnsi="华文宋体" w:eastAsia="华文宋体" w:cs="华文宋体"/>
                <w:color w:val="auto"/>
                <w:sz w:val="23"/>
                <w:szCs w:val="23"/>
                <w:highlight w:val="none"/>
              </w:rPr>
              <w:t>管理规章制度健全、具科学性，得10分；</w:t>
            </w:r>
          </w:p>
          <w:p>
            <w:pPr>
              <w:keepNext w:val="0"/>
              <w:keepLines w:val="0"/>
              <w:pageBreakBefore w:val="0"/>
              <w:numPr>
                <w:ilvl w:val="0"/>
                <w:numId w:val="0"/>
              </w:numPr>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3、</w:t>
            </w:r>
            <w:r>
              <w:rPr>
                <w:rFonts w:hint="eastAsia" w:ascii="华文宋体" w:hAnsi="华文宋体" w:eastAsia="华文宋体" w:cs="华文宋体"/>
                <w:color w:val="auto"/>
                <w:sz w:val="23"/>
                <w:szCs w:val="23"/>
                <w:highlight w:val="none"/>
              </w:rPr>
              <w:t>管理规章制度比较健全、较具科学性得5分；</w:t>
            </w:r>
          </w:p>
          <w:p>
            <w:pPr>
              <w:keepNext w:val="0"/>
              <w:keepLines w:val="0"/>
              <w:pageBreakBefore w:val="0"/>
              <w:numPr>
                <w:ilvl w:val="0"/>
                <w:numId w:val="0"/>
              </w:numPr>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4、</w:t>
            </w:r>
            <w:r>
              <w:rPr>
                <w:rFonts w:hint="eastAsia" w:ascii="华文宋体" w:hAnsi="华文宋体" w:eastAsia="华文宋体" w:cs="华文宋体"/>
                <w:color w:val="auto"/>
                <w:sz w:val="23"/>
                <w:szCs w:val="23"/>
                <w:highlight w:val="none"/>
              </w:rPr>
              <w:t>管理规章制度基本健全、基本具科学性得1分。</w:t>
            </w:r>
          </w:p>
          <w:p>
            <w:pPr>
              <w:keepNext w:val="0"/>
              <w:keepLines w:val="0"/>
              <w:pageBreakBefore w:val="0"/>
              <w:numPr>
                <w:ilvl w:val="0"/>
                <w:numId w:val="0"/>
              </w:numPr>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5、</w:t>
            </w:r>
            <w:r>
              <w:rPr>
                <w:rFonts w:hint="eastAsia" w:ascii="华文宋体" w:hAnsi="华文宋体" w:eastAsia="华文宋体" w:cs="华文宋体"/>
                <w:color w:val="auto"/>
                <w:sz w:val="23"/>
                <w:szCs w:val="23"/>
                <w:highlight w:val="none"/>
              </w:rPr>
              <w:t>无或其他情况得0分。</w:t>
            </w:r>
          </w:p>
        </w:tc>
        <w:tc>
          <w:tcPr>
            <w:tcW w:w="1392" w:type="dxa"/>
            <w:tcBorders>
              <w:top w:val="single" w:color="auto" w:sz="4" w:space="0"/>
              <w:left w:val="single" w:color="auto" w:sz="4" w:space="0"/>
              <w:bottom w:val="single" w:color="auto" w:sz="6" w:space="0"/>
              <w:right w:val="single" w:color="auto" w:sz="6" w:space="0"/>
            </w:tcBorders>
            <w:noWrap w:val="0"/>
            <w:vAlign w:val="center"/>
          </w:tcPr>
          <w:p>
            <w:pPr>
              <w:spacing w:line="276" w:lineRule="auto"/>
              <w:jc w:val="center"/>
              <w:rPr>
                <w:rFonts w:hint="eastAsia" w:ascii="华文宋体" w:hAnsi="华文宋体" w:eastAsia="华文宋体" w:cs="华文宋体"/>
                <w:color w:val="auto"/>
                <w:sz w:val="23"/>
                <w:szCs w:val="23"/>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5" w:type="dxa"/>
            <w:tcBorders>
              <w:top w:val="single" w:color="auto" w:sz="6" w:space="0"/>
              <w:left w:val="single" w:color="auto" w:sz="6" w:space="0"/>
              <w:bottom w:val="single" w:color="auto" w:sz="6" w:space="0"/>
              <w:right w:val="single" w:color="auto" w:sz="4" w:space="0"/>
            </w:tcBorders>
            <w:noWrap w:val="0"/>
            <w:vAlign w:val="center"/>
          </w:tcPr>
          <w:p>
            <w:pPr>
              <w:numPr>
                <w:ilvl w:val="0"/>
                <w:numId w:val="154"/>
              </w:numPr>
              <w:spacing w:line="400" w:lineRule="exact"/>
              <w:jc w:val="right"/>
              <w:rPr>
                <w:rFonts w:hint="eastAsia" w:ascii="华文宋体" w:hAnsi="华文宋体" w:eastAsia="华文宋体" w:cs="华文宋体"/>
                <w:color w:val="auto"/>
                <w:sz w:val="23"/>
                <w:szCs w:val="23"/>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pPr>
              <w:spacing w:line="350" w:lineRule="exact"/>
              <w:ind w:left="18" w:leftChars="10" w:right="18" w:rightChars="10"/>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应急处理方案</w:t>
            </w:r>
          </w:p>
        </w:tc>
        <w:tc>
          <w:tcPr>
            <w:tcW w:w="5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响应供应商针对本项目制定应急处理方案进行评审：</w:t>
            </w:r>
          </w:p>
          <w:p>
            <w:pPr>
              <w:keepNext w:val="0"/>
              <w:keepLines w:val="0"/>
              <w:pageBreakBefore w:val="0"/>
              <w:numPr>
                <w:ilvl w:val="0"/>
                <w:numId w:val="0"/>
              </w:numPr>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1、</w:t>
            </w:r>
            <w:r>
              <w:rPr>
                <w:rFonts w:hint="eastAsia" w:ascii="华文宋体" w:hAnsi="华文宋体" w:eastAsia="华文宋体" w:cs="华文宋体"/>
                <w:color w:val="auto"/>
                <w:sz w:val="23"/>
                <w:szCs w:val="23"/>
                <w:highlight w:val="none"/>
              </w:rPr>
              <w:t>响应供应商针对本项目制定应急处理方案进行评审：</w:t>
            </w:r>
          </w:p>
          <w:p>
            <w:pPr>
              <w:keepNext w:val="0"/>
              <w:keepLines w:val="0"/>
              <w:pageBreakBefore w:val="0"/>
              <w:numPr>
                <w:ilvl w:val="0"/>
                <w:numId w:val="0"/>
              </w:numPr>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2、</w:t>
            </w:r>
            <w:r>
              <w:rPr>
                <w:rFonts w:hint="eastAsia" w:ascii="华文宋体" w:hAnsi="华文宋体" w:eastAsia="华文宋体" w:cs="华文宋体"/>
                <w:color w:val="auto"/>
                <w:sz w:val="23"/>
                <w:szCs w:val="23"/>
                <w:highlight w:val="none"/>
              </w:rPr>
              <w:t>应急处理方案完整合理、可行性强，得10分；</w:t>
            </w:r>
          </w:p>
          <w:p>
            <w:pPr>
              <w:keepNext w:val="0"/>
              <w:keepLines w:val="0"/>
              <w:pageBreakBefore w:val="0"/>
              <w:numPr>
                <w:ilvl w:val="0"/>
                <w:numId w:val="0"/>
              </w:numPr>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3、</w:t>
            </w:r>
            <w:r>
              <w:rPr>
                <w:rFonts w:hint="eastAsia" w:ascii="华文宋体" w:hAnsi="华文宋体" w:eastAsia="华文宋体" w:cs="华文宋体"/>
                <w:color w:val="auto"/>
                <w:sz w:val="23"/>
                <w:szCs w:val="23"/>
                <w:highlight w:val="none"/>
              </w:rPr>
              <w:t xml:space="preserve">应急处理方案比较完整合理、可行性比较强，得5分； </w:t>
            </w:r>
          </w:p>
          <w:p>
            <w:pPr>
              <w:keepNext w:val="0"/>
              <w:keepLines w:val="0"/>
              <w:pageBreakBefore w:val="0"/>
              <w:numPr>
                <w:ilvl w:val="0"/>
                <w:numId w:val="0"/>
              </w:numPr>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4、</w:t>
            </w:r>
            <w:r>
              <w:rPr>
                <w:rFonts w:hint="eastAsia" w:ascii="华文宋体" w:hAnsi="华文宋体" w:eastAsia="华文宋体" w:cs="华文宋体"/>
                <w:color w:val="auto"/>
                <w:sz w:val="23"/>
                <w:szCs w:val="23"/>
                <w:highlight w:val="none"/>
              </w:rPr>
              <w:t>应急处理方案内容一般、可行性一般，得1分；</w:t>
            </w:r>
          </w:p>
          <w:p>
            <w:pPr>
              <w:keepNext w:val="0"/>
              <w:keepLines w:val="0"/>
              <w:pageBreakBefore w:val="0"/>
              <w:numPr>
                <w:ilvl w:val="0"/>
                <w:numId w:val="0"/>
              </w:numPr>
              <w:kinsoku/>
              <w:wordWrap/>
              <w:overflowPunct/>
              <w:topLinePunct w:val="0"/>
              <w:autoSpaceDE/>
              <w:autoSpaceDN/>
              <w:bidi w:val="0"/>
              <w:adjustRightInd/>
              <w:snapToGrid/>
              <w:spacing w:line="350" w:lineRule="exact"/>
              <w:ind w:left="36" w:leftChars="20" w:right="36" w:rightChars="20"/>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5、</w:t>
            </w:r>
            <w:r>
              <w:rPr>
                <w:rFonts w:hint="eastAsia" w:ascii="华文宋体" w:hAnsi="华文宋体" w:eastAsia="华文宋体" w:cs="华文宋体"/>
                <w:color w:val="auto"/>
                <w:sz w:val="23"/>
                <w:szCs w:val="23"/>
                <w:highlight w:val="none"/>
              </w:rPr>
              <w:t>应急处理方案完整合理性差、可行性差或其他情况，得0分。</w:t>
            </w:r>
          </w:p>
        </w:tc>
        <w:tc>
          <w:tcPr>
            <w:tcW w:w="1392" w:type="dxa"/>
            <w:tcBorders>
              <w:top w:val="single" w:color="auto" w:sz="6" w:space="0"/>
              <w:left w:val="single" w:color="auto" w:sz="4" w:space="0"/>
              <w:bottom w:val="single" w:color="auto" w:sz="6" w:space="0"/>
              <w:right w:val="single" w:color="auto" w:sz="6" w:space="0"/>
            </w:tcBorders>
            <w:noWrap w:val="0"/>
            <w:vAlign w:val="center"/>
          </w:tcPr>
          <w:p>
            <w:pPr>
              <w:spacing w:line="276" w:lineRule="auto"/>
              <w:jc w:val="center"/>
              <w:rPr>
                <w:rFonts w:hint="eastAsia" w:ascii="华文宋体" w:hAnsi="华文宋体" w:eastAsia="华文宋体" w:cs="华文宋体"/>
                <w:color w:val="auto"/>
                <w:sz w:val="23"/>
                <w:szCs w:val="23"/>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5" w:type="dxa"/>
            <w:tcBorders>
              <w:top w:val="single" w:color="auto" w:sz="6" w:space="0"/>
              <w:left w:val="single" w:color="auto" w:sz="6" w:space="0"/>
              <w:bottom w:val="single" w:color="auto" w:sz="6" w:space="0"/>
              <w:right w:val="single" w:color="auto" w:sz="4" w:space="0"/>
            </w:tcBorders>
            <w:noWrap w:val="0"/>
            <w:vAlign w:val="center"/>
          </w:tcPr>
          <w:p>
            <w:pPr>
              <w:numPr>
                <w:ilvl w:val="0"/>
                <w:numId w:val="154"/>
              </w:numPr>
              <w:spacing w:line="400" w:lineRule="exact"/>
              <w:jc w:val="right"/>
              <w:rPr>
                <w:rFonts w:hint="eastAsia" w:ascii="华文宋体" w:hAnsi="华文宋体" w:eastAsia="华文宋体" w:cs="华文宋体"/>
                <w:color w:val="auto"/>
                <w:sz w:val="23"/>
                <w:szCs w:val="23"/>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center"/>
          </w:tcPr>
          <w:p>
            <w:pPr>
              <w:spacing w:line="350" w:lineRule="exact"/>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kern w:val="0"/>
                <w:sz w:val="23"/>
                <w:szCs w:val="23"/>
                <w:highlight w:val="none"/>
              </w:rPr>
              <w:t>场地设施条件</w:t>
            </w:r>
          </w:p>
        </w:tc>
        <w:tc>
          <w:tcPr>
            <w:tcW w:w="5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响应供应商针对本项目场地设施条件进行评审：</w:t>
            </w:r>
          </w:p>
          <w:p>
            <w:pPr>
              <w:keepNext w:val="0"/>
              <w:keepLines w:val="0"/>
              <w:pageBreakBefore w:val="0"/>
              <w:numPr>
                <w:ilvl w:val="0"/>
                <w:numId w:val="0"/>
              </w:numPr>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sz w:val="23"/>
                <w:szCs w:val="23"/>
                <w:highlight w:val="none"/>
                <w:lang w:eastAsia="zh-CN"/>
              </w:rPr>
            </w:pPr>
            <w:r>
              <w:rPr>
                <w:rFonts w:hint="eastAsia" w:ascii="华文宋体" w:hAnsi="华文宋体" w:eastAsia="华文宋体" w:cs="华文宋体"/>
                <w:color w:val="auto"/>
                <w:sz w:val="23"/>
                <w:szCs w:val="23"/>
                <w:highlight w:val="none"/>
              </w:rPr>
              <w:t>响应供应商针对本项目维修厂房、停车场面积大小和设施条件的进行评审</w:t>
            </w:r>
            <w:r>
              <w:rPr>
                <w:rFonts w:hint="eastAsia" w:ascii="华文宋体" w:hAnsi="华文宋体" w:cs="华文宋体"/>
                <w:color w:val="auto"/>
                <w:sz w:val="23"/>
                <w:szCs w:val="23"/>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1、</w:t>
            </w:r>
            <w:r>
              <w:rPr>
                <w:rFonts w:hint="eastAsia" w:ascii="华文宋体" w:hAnsi="华文宋体" w:eastAsia="华文宋体" w:cs="华文宋体"/>
                <w:color w:val="auto"/>
                <w:sz w:val="23"/>
                <w:szCs w:val="23"/>
                <w:highlight w:val="none"/>
              </w:rPr>
              <w:t>维修厂房、停车场面积完全满足本项目车辆进出要求，得8分；</w:t>
            </w:r>
          </w:p>
          <w:p>
            <w:pPr>
              <w:keepNext w:val="0"/>
              <w:keepLines w:val="0"/>
              <w:pageBreakBefore w:val="0"/>
              <w:numPr>
                <w:ilvl w:val="0"/>
                <w:numId w:val="0"/>
              </w:numPr>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2、</w:t>
            </w:r>
            <w:r>
              <w:rPr>
                <w:rFonts w:hint="eastAsia" w:ascii="华文宋体" w:hAnsi="华文宋体" w:eastAsia="华文宋体" w:cs="华文宋体"/>
                <w:color w:val="auto"/>
                <w:sz w:val="23"/>
                <w:szCs w:val="23"/>
                <w:highlight w:val="none"/>
              </w:rPr>
              <w:t>维修厂房、停车场面积基本满足本项目车辆进出要求，得4分；</w:t>
            </w:r>
          </w:p>
          <w:p>
            <w:pPr>
              <w:keepNext w:val="0"/>
              <w:keepLines w:val="0"/>
              <w:pageBreakBefore w:val="0"/>
              <w:numPr>
                <w:ilvl w:val="0"/>
                <w:numId w:val="0"/>
              </w:numPr>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cs="华文宋体"/>
                <w:color w:val="auto"/>
                <w:sz w:val="23"/>
                <w:szCs w:val="23"/>
                <w:highlight w:val="none"/>
                <w:lang w:val="en-US" w:eastAsia="zh-CN"/>
              </w:rPr>
              <w:t>3、</w:t>
            </w:r>
            <w:r>
              <w:rPr>
                <w:rFonts w:hint="eastAsia" w:ascii="华文宋体" w:hAnsi="华文宋体" w:eastAsia="华文宋体" w:cs="华文宋体"/>
                <w:color w:val="auto"/>
                <w:sz w:val="23"/>
                <w:szCs w:val="23"/>
                <w:highlight w:val="none"/>
              </w:rPr>
              <w:t>维修厂房、停车场面积不满足本项目车辆进出要求或其他情况，得0分。</w:t>
            </w:r>
          </w:p>
          <w:p>
            <w:pPr>
              <w:keepNext w:val="0"/>
              <w:keepLines w:val="0"/>
              <w:pageBreakBefore w:val="0"/>
              <w:numPr>
                <w:ilvl w:val="0"/>
                <w:numId w:val="0"/>
              </w:numPr>
              <w:kinsoku/>
              <w:wordWrap/>
              <w:overflowPunct/>
              <w:topLinePunct w:val="0"/>
              <w:autoSpaceDE/>
              <w:autoSpaceDN/>
              <w:bidi w:val="0"/>
              <w:adjustRightInd/>
              <w:snapToGrid/>
              <w:spacing w:line="380" w:lineRule="exact"/>
              <w:ind w:left="36" w:leftChars="20" w:right="36" w:rightChars="20"/>
              <w:jc w:val="left"/>
              <w:textAlignment w:val="auto"/>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注：提供相关方案及相关照片复印件加盖公章作为评审依据，不提供或提供不全的不得分。</w:t>
            </w:r>
          </w:p>
        </w:tc>
        <w:tc>
          <w:tcPr>
            <w:tcW w:w="1392" w:type="dxa"/>
            <w:tcBorders>
              <w:top w:val="single" w:color="auto" w:sz="6" w:space="0"/>
              <w:left w:val="single" w:color="auto" w:sz="4" w:space="0"/>
              <w:bottom w:val="single" w:color="auto" w:sz="6" w:space="0"/>
              <w:right w:val="single" w:color="auto" w:sz="6" w:space="0"/>
            </w:tcBorders>
            <w:noWrap w:val="0"/>
            <w:vAlign w:val="center"/>
          </w:tcPr>
          <w:p>
            <w:pPr>
              <w:spacing w:line="276" w:lineRule="auto"/>
              <w:jc w:val="center"/>
              <w:rPr>
                <w:rFonts w:hint="eastAsia" w:ascii="华文宋体" w:hAnsi="华文宋体" w:eastAsia="华文宋体" w:cs="华文宋体"/>
                <w:color w:val="auto"/>
                <w:sz w:val="23"/>
                <w:szCs w:val="23"/>
                <w:highlight w:val="none"/>
              </w:rPr>
            </w:pPr>
          </w:p>
        </w:tc>
      </w:tr>
    </w:tbl>
    <w:p>
      <w:pPr>
        <w:jc w:val="left"/>
        <w:rPr>
          <w:rFonts w:hint="eastAsia" w:ascii="华文宋体" w:hAnsi="华文宋体" w:eastAsia="华文宋体" w:cs="华文宋体"/>
          <w:b/>
          <w:bCs/>
          <w:color w:val="auto"/>
          <w:sz w:val="18"/>
          <w:szCs w:val="18"/>
          <w:highlight w:val="none"/>
        </w:rPr>
      </w:pPr>
      <w:r>
        <w:rPr>
          <w:rFonts w:hint="eastAsia" w:ascii="华文宋体" w:hAnsi="华文宋体" w:eastAsia="华文宋体" w:cs="华文宋体"/>
          <w:b/>
          <w:snapToGrid w:val="0"/>
          <w:color w:val="auto"/>
          <w:szCs w:val="28"/>
          <w:highlight w:val="none"/>
        </w:rPr>
        <w:br w:type="page"/>
      </w:r>
    </w:p>
    <w:p>
      <w:pPr>
        <w:spacing w:line="360" w:lineRule="auto"/>
        <w:jc w:val="center"/>
        <w:rPr>
          <w:rFonts w:hint="eastAsia" w:ascii="华文宋体" w:hAnsi="华文宋体" w:eastAsia="华文宋体" w:cs="华文宋体"/>
          <w:b/>
          <w:snapToGrid w:val="0"/>
          <w:color w:val="auto"/>
          <w:sz w:val="32"/>
          <w:szCs w:val="32"/>
          <w:highlight w:val="none"/>
        </w:rPr>
      </w:pPr>
      <w:r>
        <w:rPr>
          <w:rFonts w:hint="eastAsia" w:ascii="华文宋体" w:hAnsi="华文宋体" w:eastAsia="华文宋体" w:cs="华文宋体"/>
          <w:b/>
          <w:snapToGrid w:val="0"/>
          <w:color w:val="auto"/>
          <w:sz w:val="32"/>
          <w:szCs w:val="32"/>
          <w:highlight w:val="none"/>
        </w:rPr>
        <w:t>总体服务方案</w:t>
      </w:r>
    </w:p>
    <w:p>
      <w:pPr>
        <w:spacing w:line="360" w:lineRule="auto"/>
        <w:jc w:val="center"/>
        <w:rPr>
          <w:rFonts w:hint="eastAsia" w:ascii="华文宋体" w:hAnsi="华文宋体" w:eastAsia="华文宋体" w:cs="华文宋体"/>
          <w:b/>
          <w:snapToGrid w:val="0"/>
          <w:color w:val="auto"/>
          <w:sz w:val="32"/>
          <w:szCs w:val="32"/>
          <w:highlight w:val="none"/>
        </w:rPr>
      </w:pPr>
      <w:r>
        <w:rPr>
          <w:rFonts w:hint="eastAsia" w:ascii="华文宋体" w:hAnsi="华文宋体" w:eastAsia="华文宋体" w:cs="华文宋体"/>
          <w:b/>
          <w:snapToGrid w:val="0"/>
          <w:color w:val="auto"/>
          <w:sz w:val="32"/>
          <w:szCs w:val="32"/>
          <w:highlight w:val="none"/>
        </w:rPr>
        <w:t>质量保证措施和售后服务方案</w:t>
      </w:r>
    </w:p>
    <w:p>
      <w:pPr>
        <w:spacing w:line="360" w:lineRule="auto"/>
        <w:jc w:val="center"/>
        <w:rPr>
          <w:rFonts w:hint="eastAsia" w:ascii="华文宋体" w:hAnsi="华文宋体" w:eastAsia="华文宋体" w:cs="华文宋体"/>
          <w:b/>
          <w:snapToGrid w:val="0"/>
          <w:color w:val="auto"/>
          <w:sz w:val="32"/>
          <w:szCs w:val="32"/>
          <w:highlight w:val="none"/>
        </w:rPr>
      </w:pPr>
      <w:r>
        <w:rPr>
          <w:rFonts w:hint="eastAsia" w:ascii="华文宋体" w:hAnsi="华文宋体" w:eastAsia="华文宋体" w:cs="华文宋体"/>
          <w:b/>
          <w:snapToGrid w:val="0"/>
          <w:color w:val="auto"/>
          <w:sz w:val="32"/>
          <w:szCs w:val="32"/>
          <w:highlight w:val="none"/>
        </w:rPr>
        <w:t>管理规章制度</w:t>
      </w:r>
    </w:p>
    <w:p>
      <w:pPr>
        <w:spacing w:line="360" w:lineRule="auto"/>
        <w:jc w:val="center"/>
        <w:rPr>
          <w:rFonts w:hint="eastAsia" w:ascii="华文宋体" w:hAnsi="华文宋体" w:eastAsia="华文宋体" w:cs="华文宋体"/>
          <w:b/>
          <w:snapToGrid w:val="0"/>
          <w:color w:val="auto"/>
          <w:sz w:val="32"/>
          <w:szCs w:val="32"/>
          <w:highlight w:val="none"/>
        </w:rPr>
      </w:pPr>
      <w:r>
        <w:rPr>
          <w:rFonts w:hint="eastAsia" w:ascii="华文宋体" w:hAnsi="华文宋体" w:eastAsia="华文宋体" w:cs="华文宋体"/>
          <w:b/>
          <w:snapToGrid w:val="0"/>
          <w:color w:val="auto"/>
          <w:sz w:val="32"/>
          <w:szCs w:val="32"/>
          <w:highlight w:val="none"/>
        </w:rPr>
        <w:t>应急处理方案</w:t>
      </w:r>
    </w:p>
    <w:p>
      <w:pPr>
        <w:spacing w:line="360" w:lineRule="auto"/>
        <w:jc w:val="center"/>
        <w:rPr>
          <w:rFonts w:hint="eastAsia" w:ascii="华文宋体" w:hAnsi="华文宋体" w:eastAsia="华文宋体" w:cs="华文宋体"/>
          <w:b/>
          <w:snapToGrid w:val="0"/>
          <w:color w:val="auto"/>
          <w:sz w:val="32"/>
          <w:szCs w:val="32"/>
          <w:highlight w:val="none"/>
        </w:rPr>
      </w:pPr>
      <w:r>
        <w:rPr>
          <w:rFonts w:hint="eastAsia" w:ascii="华文宋体" w:hAnsi="华文宋体" w:eastAsia="华文宋体" w:cs="华文宋体"/>
          <w:b/>
          <w:snapToGrid w:val="0"/>
          <w:color w:val="auto"/>
          <w:sz w:val="32"/>
          <w:szCs w:val="32"/>
          <w:highlight w:val="none"/>
        </w:rPr>
        <w:t>场地设施条件</w:t>
      </w:r>
    </w:p>
    <w:p>
      <w:pPr>
        <w:spacing w:line="360" w:lineRule="auto"/>
        <w:rPr>
          <w:rFonts w:hint="eastAsia" w:ascii="华文宋体" w:hAnsi="华文宋体" w:eastAsia="华文宋体" w:cs="华文宋体"/>
          <w:color w:val="auto"/>
          <w:sz w:val="22"/>
          <w:highlight w:val="none"/>
        </w:rPr>
      </w:pPr>
    </w:p>
    <w:p>
      <w:pPr>
        <w:spacing w:line="360" w:lineRule="auto"/>
        <w:rPr>
          <w:rFonts w:hint="eastAsia" w:ascii="华文宋体" w:hAnsi="华文宋体" w:eastAsia="华文宋体" w:cs="华文宋体"/>
          <w:color w:val="auto"/>
          <w:sz w:val="22"/>
          <w:highlight w:val="none"/>
          <w:lang w:val="en-GB"/>
        </w:rPr>
      </w:pPr>
      <w:r>
        <w:rPr>
          <w:rFonts w:hint="eastAsia" w:ascii="华文宋体" w:hAnsi="华文宋体" w:eastAsia="华文宋体" w:cs="华文宋体"/>
          <w:color w:val="auto"/>
          <w:sz w:val="22"/>
          <w:highlight w:val="none"/>
        </w:rPr>
        <w:t>（格式可由供应商自拟）</w:t>
      </w:r>
    </w:p>
    <w:p>
      <w:pPr>
        <w:tabs>
          <w:tab w:val="left" w:pos="851"/>
        </w:tabs>
        <w:spacing w:before="72" w:after="72" w:line="360" w:lineRule="auto"/>
        <w:ind w:left="840"/>
        <w:rPr>
          <w:rFonts w:hint="eastAsia" w:ascii="华文宋体" w:hAnsi="华文宋体" w:eastAsia="华文宋体" w:cs="华文宋体"/>
          <w:bCs/>
          <w:color w:val="auto"/>
          <w:kern w:val="44"/>
          <w:sz w:val="28"/>
          <w:szCs w:val="28"/>
          <w:highlight w:val="none"/>
        </w:rPr>
      </w:pPr>
    </w:p>
    <w:p>
      <w:pPr>
        <w:adjustRightInd w:val="0"/>
        <w:snapToGrid w:val="0"/>
        <w:spacing w:line="480" w:lineRule="auto"/>
        <w:ind w:right="223" w:rightChars="124" w:firstLine="3224" w:firstLineChars="1300"/>
        <w:rPr>
          <w:rFonts w:hint="eastAsia" w:ascii="华文宋体" w:hAnsi="华文宋体" w:eastAsia="华文宋体" w:cs="华文宋体"/>
          <w:color w:val="auto"/>
          <w:spacing w:val="4"/>
          <w:sz w:val="24"/>
          <w:szCs w:val="24"/>
          <w:highlight w:val="none"/>
          <w:u w:val="single"/>
        </w:rPr>
      </w:pPr>
      <w:r>
        <w:rPr>
          <w:rFonts w:hint="eastAsia" w:ascii="华文宋体" w:hAnsi="华文宋体" w:eastAsia="华文宋体" w:cs="华文宋体"/>
          <w:color w:val="auto"/>
          <w:spacing w:val="4"/>
          <w:sz w:val="24"/>
          <w:szCs w:val="24"/>
          <w:highlight w:val="none"/>
        </w:rPr>
        <w:t>供应商名称（公章）：</w:t>
      </w:r>
      <w:r>
        <w:rPr>
          <w:rFonts w:hint="eastAsia" w:ascii="华文宋体" w:hAnsi="华文宋体" w:eastAsia="华文宋体" w:cs="华文宋体"/>
          <w:color w:val="auto"/>
          <w:spacing w:val="4"/>
          <w:sz w:val="24"/>
          <w:szCs w:val="24"/>
          <w:highlight w:val="none"/>
          <w:u w:val="single"/>
        </w:rPr>
        <w:t xml:space="preserve">                            </w:t>
      </w:r>
    </w:p>
    <w:p>
      <w:pPr>
        <w:adjustRightInd w:val="0"/>
        <w:snapToGrid w:val="0"/>
        <w:spacing w:line="480" w:lineRule="auto"/>
        <w:ind w:right="223" w:rightChars="124" w:firstLine="3224" w:firstLineChars="1300"/>
        <w:rPr>
          <w:rFonts w:hint="eastAsia" w:ascii="华文宋体" w:hAnsi="华文宋体" w:eastAsia="华文宋体" w:cs="华文宋体"/>
          <w:color w:val="auto"/>
          <w:spacing w:val="4"/>
          <w:sz w:val="24"/>
          <w:szCs w:val="24"/>
          <w:highlight w:val="none"/>
          <w:u w:val="single"/>
        </w:rPr>
      </w:pPr>
      <w:r>
        <w:rPr>
          <w:rFonts w:hint="eastAsia" w:ascii="华文宋体" w:hAnsi="华文宋体" w:eastAsia="华文宋体" w:cs="华文宋体"/>
          <w:color w:val="auto"/>
          <w:spacing w:val="4"/>
          <w:sz w:val="24"/>
          <w:szCs w:val="24"/>
          <w:highlight w:val="none"/>
        </w:rPr>
        <w:t>法定代表人或其授权代表（签名或盖章）：</w:t>
      </w:r>
      <w:r>
        <w:rPr>
          <w:rFonts w:hint="eastAsia" w:ascii="华文宋体" w:hAnsi="华文宋体" w:eastAsia="华文宋体" w:cs="华文宋体"/>
          <w:color w:val="auto"/>
          <w:spacing w:val="4"/>
          <w:sz w:val="24"/>
          <w:szCs w:val="24"/>
          <w:highlight w:val="none"/>
          <w:u w:val="single"/>
        </w:rPr>
        <w:t xml:space="preserve">          </w:t>
      </w:r>
    </w:p>
    <w:p>
      <w:pPr>
        <w:adjustRightInd w:val="0"/>
        <w:snapToGrid w:val="0"/>
        <w:spacing w:line="480" w:lineRule="auto"/>
        <w:ind w:right="223" w:rightChars="124" w:firstLine="3224" w:firstLineChars="1300"/>
        <w:rPr>
          <w:rFonts w:hint="eastAsia" w:ascii="华文宋体" w:hAnsi="华文宋体" w:eastAsia="华文宋体" w:cs="华文宋体"/>
          <w:color w:val="auto"/>
          <w:spacing w:val="4"/>
          <w:sz w:val="24"/>
          <w:szCs w:val="24"/>
          <w:highlight w:val="none"/>
        </w:rPr>
      </w:pPr>
      <w:r>
        <w:rPr>
          <w:rFonts w:hint="eastAsia" w:ascii="华文宋体" w:hAnsi="华文宋体" w:eastAsia="华文宋体" w:cs="华文宋体"/>
          <w:color w:val="auto"/>
          <w:spacing w:val="4"/>
          <w:sz w:val="24"/>
          <w:szCs w:val="24"/>
          <w:highlight w:val="none"/>
        </w:rPr>
        <w:t>日期：</w:t>
      </w:r>
      <w:r>
        <w:rPr>
          <w:rFonts w:hint="eastAsia" w:ascii="华文宋体" w:hAnsi="华文宋体" w:eastAsia="华文宋体" w:cs="华文宋体"/>
          <w:color w:val="auto"/>
          <w:spacing w:val="4"/>
          <w:sz w:val="24"/>
          <w:szCs w:val="24"/>
          <w:highlight w:val="none"/>
          <w:u w:val="single"/>
        </w:rPr>
        <w:t xml:space="preserve">      </w:t>
      </w:r>
      <w:r>
        <w:rPr>
          <w:rFonts w:hint="eastAsia" w:ascii="华文宋体" w:hAnsi="华文宋体" w:eastAsia="华文宋体" w:cs="华文宋体"/>
          <w:color w:val="auto"/>
          <w:spacing w:val="4"/>
          <w:sz w:val="24"/>
          <w:szCs w:val="24"/>
          <w:highlight w:val="none"/>
        </w:rPr>
        <w:t>年</w:t>
      </w:r>
      <w:r>
        <w:rPr>
          <w:rFonts w:hint="eastAsia" w:ascii="华文宋体" w:hAnsi="华文宋体" w:eastAsia="华文宋体" w:cs="华文宋体"/>
          <w:color w:val="auto"/>
          <w:spacing w:val="4"/>
          <w:sz w:val="24"/>
          <w:szCs w:val="24"/>
          <w:highlight w:val="none"/>
          <w:u w:val="single"/>
        </w:rPr>
        <w:t xml:space="preserve">     </w:t>
      </w:r>
      <w:r>
        <w:rPr>
          <w:rFonts w:hint="eastAsia" w:ascii="华文宋体" w:hAnsi="华文宋体" w:eastAsia="华文宋体" w:cs="华文宋体"/>
          <w:color w:val="auto"/>
          <w:spacing w:val="4"/>
          <w:sz w:val="24"/>
          <w:szCs w:val="24"/>
          <w:highlight w:val="none"/>
        </w:rPr>
        <w:t>月</w:t>
      </w:r>
      <w:r>
        <w:rPr>
          <w:rFonts w:hint="eastAsia" w:ascii="华文宋体" w:hAnsi="华文宋体" w:eastAsia="华文宋体" w:cs="华文宋体"/>
          <w:color w:val="auto"/>
          <w:spacing w:val="4"/>
          <w:sz w:val="24"/>
          <w:szCs w:val="24"/>
          <w:highlight w:val="none"/>
          <w:u w:val="single"/>
        </w:rPr>
        <w:t xml:space="preserve">     </w:t>
      </w:r>
      <w:r>
        <w:rPr>
          <w:rFonts w:hint="eastAsia" w:ascii="华文宋体" w:hAnsi="华文宋体" w:eastAsia="华文宋体" w:cs="华文宋体"/>
          <w:color w:val="auto"/>
          <w:spacing w:val="4"/>
          <w:sz w:val="24"/>
          <w:szCs w:val="24"/>
          <w:highlight w:val="none"/>
        </w:rPr>
        <w:t>日</w:t>
      </w:r>
    </w:p>
    <w:p>
      <w:pPr>
        <w:pStyle w:val="2"/>
        <w:rPr>
          <w:rFonts w:hint="eastAsia" w:ascii="华文宋体" w:hAnsi="华文宋体" w:eastAsia="华文宋体" w:cs="华文宋体"/>
          <w:b/>
          <w:color w:val="auto"/>
          <w:sz w:val="28"/>
          <w:szCs w:val="28"/>
          <w:highlight w:val="none"/>
        </w:rPr>
      </w:pPr>
    </w:p>
    <w:p>
      <w:pPr>
        <w:pStyle w:val="2"/>
        <w:rPr>
          <w:rFonts w:hint="eastAsia" w:ascii="华文宋体" w:hAnsi="华文宋体" w:eastAsia="华文宋体" w:cs="华文宋体"/>
          <w:b/>
          <w:color w:val="auto"/>
          <w:sz w:val="28"/>
          <w:szCs w:val="28"/>
          <w:highlight w:val="none"/>
        </w:rPr>
      </w:pPr>
    </w:p>
    <w:p>
      <w:pPr>
        <w:pStyle w:val="2"/>
        <w:rPr>
          <w:rFonts w:hint="eastAsia" w:ascii="华文宋体" w:hAnsi="华文宋体" w:eastAsia="华文宋体" w:cs="华文宋体"/>
          <w:b/>
          <w:color w:val="auto"/>
          <w:sz w:val="28"/>
          <w:szCs w:val="28"/>
          <w:highlight w:val="none"/>
        </w:rPr>
      </w:pPr>
    </w:p>
    <w:p>
      <w:pPr>
        <w:pStyle w:val="2"/>
        <w:spacing w:after="0"/>
        <w:rPr>
          <w:rFonts w:hint="eastAsia" w:ascii="华文宋体" w:hAnsi="华文宋体" w:eastAsia="华文宋体" w:cs="华文宋体"/>
          <w:b/>
          <w:color w:val="auto"/>
          <w:sz w:val="28"/>
          <w:szCs w:val="28"/>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0" w:firstLineChars="0"/>
        <w:rPr>
          <w:rFonts w:hint="eastAsia" w:ascii="华文宋体" w:hAnsi="华文宋体" w:eastAsia="华文宋体" w:cs="华文宋体"/>
          <w:bCs/>
          <w:color w:val="auto"/>
          <w:szCs w:val="21"/>
          <w:highlight w:val="none"/>
        </w:rPr>
      </w:pPr>
    </w:p>
    <w:p>
      <w:pPr>
        <w:pStyle w:val="29"/>
        <w:ind w:firstLine="0" w:firstLineChars="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29"/>
        <w:ind w:firstLine="180"/>
        <w:rPr>
          <w:rFonts w:hint="eastAsia" w:ascii="华文宋体" w:hAnsi="华文宋体" w:eastAsia="华文宋体" w:cs="华文宋体"/>
          <w:bCs/>
          <w:color w:val="auto"/>
          <w:szCs w:val="21"/>
          <w:highlight w:val="none"/>
        </w:rPr>
      </w:pPr>
    </w:p>
    <w:p>
      <w:pPr>
        <w:pStyle w:val="6"/>
        <w:tabs>
          <w:tab w:val="left" w:pos="720"/>
          <w:tab w:val="clear" w:pos="851"/>
        </w:tabs>
        <w:jc w:val="center"/>
        <w:rPr>
          <w:rFonts w:hint="eastAsia" w:ascii="华文宋体" w:hAnsi="华文宋体" w:eastAsia="华文宋体" w:cs="华文宋体"/>
          <w:b/>
          <w:bCs/>
          <w:color w:val="auto"/>
          <w:sz w:val="44"/>
          <w:szCs w:val="44"/>
          <w:highlight w:val="none"/>
        </w:rPr>
      </w:pPr>
      <w:bookmarkStart w:id="182" w:name="_Toc12934"/>
      <w:bookmarkStart w:id="183" w:name="_Toc3986"/>
      <w:r>
        <w:rPr>
          <w:rFonts w:hint="eastAsia" w:ascii="华文宋体" w:hAnsi="华文宋体" w:eastAsia="华文宋体" w:cs="华文宋体"/>
          <w:b/>
          <w:bCs/>
          <w:color w:val="auto"/>
          <w:sz w:val="44"/>
          <w:szCs w:val="44"/>
          <w:highlight w:val="none"/>
        </w:rPr>
        <w:t>（五）报价文件</w:t>
      </w:r>
      <w:bookmarkEnd w:id="182"/>
      <w:bookmarkEnd w:id="183"/>
    </w:p>
    <w:p>
      <w:pPr>
        <w:rPr>
          <w:rFonts w:hint="eastAsia" w:ascii="华文宋体" w:hAnsi="华文宋体" w:eastAsia="华文宋体" w:cs="华文宋体"/>
          <w:b/>
          <w:bCs/>
          <w:color w:val="auto"/>
          <w:szCs w:val="21"/>
          <w:highlight w:val="none"/>
        </w:rPr>
        <w:sectPr>
          <w:headerReference r:id="rId11" w:type="default"/>
          <w:pgSz w:w="11906" w:h="16838"/>
          <w:pgMar w:top="1610" w:right="1293" w:bottom="1553" w:left="1349" w:header="907" w:footer="907" w:gutter="0"/>
          <w:cols w:space="0" w:num="1"/>
          <w:rtlGutter w:val="0"/>
          <w:docGrid w:type="lines" w:linePitch="312" w:charSpace="0"/>
        </w:sectPr>
      </w:pPr>
    </w:p>
    <w:p>
      <w:pPr>
        <w:spacing w:line="240" w:lineRule="exact"/>
        <w:jc w:val="center"/>
        <w:rPr>
          <w:rFonts w:hint="eastAsia" w:ascii="华文宋体" w:hAnsi="华文宋体" w:eastAsia="华文宋体" w:cs="华文宋体"/>
          <w:b/>
          <w:bCs/>
          <w:color w:val="auto"/>
          <w:sz w:val="32"/>
          <w:szCs w:val="32"/>
          <w:highlight w:val="none"/>
        </w:rPr>
      </w:pPr>
    </w:p>
    <w:p>
      <w:pPr>
        <w:jc w:val="center"/>
        <w:rPr>
          <w:rFonts w:hint="eastAsia" w:ascii="华文宋体" w:hAnsi="华文宋体" w:eastAsia="华文宋体" w:cs="华文宋体"/>
          <w:b/>
          <w:bCs/>
          <w:color w:val="auto"/>
          <w:sz w:val="32"/>
          <w:szCs w:val="32"/>
          <w:highlight w:val="none"/>
        </w:rPr>
      </w:pPr>
      <w:r>
        <w:rPr>
          <w:rFonts w:hint="eastAsia" w:ascii="华文宋体" w:hAnsi="华文宋体" w:eastAsia="华文宋体" w:cs="华文宋体"/>
          <w:b/>
          <w:bCs/>
          <w:color w:val="auto"/>
          <w:sz w:val="32"/>
          <w:szCs w:val="32"/>
          <w:highlight w:val="none"/>
        </w:rPr>
        <w:t>初次报价表</w:t>
      </w:r>
    </w:p>
    <w:p>
      <w:pPr>
        <w:rPr>
          <w:rFonts w:hint="eastAsia" w:ascii="华文宋体" w:hAnsi="华文宋体" w:eastAsia="华文宋体" w:cs="华文宋体"/>
          <w:color w:val="auto"/>
          <w:highlight w:val="none"/>
        </w:rPr>
      </w:pPr>
    </w:p>
    <w:p>
      <w:pPr>
        <w:spacing w:line="360" w:lineRule="auto"/>
        <w:rPr>
          <w:rFonts w:hint="eastAsia" w:ascii="华文宋体" w:hAnsi="华文宋体" w:eastAsia="华文宋体" w:cs="华文宋体"/>
          <w:bCs/>
          <w:color w:val="auto"/>
          <w:sz w:val="24"/>
          <w:highlight w:val="none"/>
          <w:u w:val="single"/>
        </w:rPr>
      </w:pPr>
      <w:r>
        <w:rPr>
          <w:rFonts w:hint="eastAsia" w:ascii="华文宋体" w:hAnsi="华文宋体" w:eastAsia="华文宋体" w:cs="华文宋体"/>
          <w:bCs/>
          <w:color w:val="auto"/>
          <w:sz w:val="24"/>
          <w:highlight w:val="none"/>
        </w:rPr>
        <w:t>项目名称：</w:t>
      </w:r>
      <w:r>
        <w:rPr>
          <w:rFonts w:hint="eastAsia" w:ascii="华文宋体" w:hAnsi="华文宋体" w:eastAsia="华文宋体" w:cs="华文宋体"/>
          <w:bCs/>
          <w:color w:val="auto"/>
          <w:sz w:val="24"/>
          <w:highlight w:val="none"/>
          <w:u w:val="single"/>
        </w:rPr>
        <w:t xml:space="preserve">                            </w:t>
      </w:r>
    </w:p>
    <w:p>
      <w:pPr>
        <w:spacing w:line="360" w:lineRule="auto"/>
        <w:rPr>
          <w:rFonts w:hint="eastAsia" w:ascii="华文宋体" w:hAnsi="华文宋体" w:eastAsia="华文宋体" w:cs="华文宋体"/>
          <w:bCs/>
          <w:color w:val="auto"/>
          <w:sz w:val="24"/>
          <w:highlight w:val="none"/>
          <w:u w:val="single"/>
        </w:rPr>
      </w:pPr>
      <w:r>
        <w:rPr>
          <w:rFonts w:hint="eastAsia" w:ascii="华文宋体" w:hAnsi="华文宋体" w:eastAsia="华文宋体" w:cs="华文宋体"/>
          <w:bCs/>
          <w:color w:val="auto"/>
          <w:sz w:val="24"/>
          <w:highlight w:val="none"/>
        </w:rPr>
        <w:t>项目编号：</w:t>
      </w:r>
      <w:r>
        <w:rPr>
          <w:rFonts w:hint="eastAsia" w:ascii="华文宋体" w:hAnsi="华文宋体" w:eastAsia="华文宋体" w:cs="华文宋体"/>
          <w:bCs/>
          <w:color w:val="auto"/>
          <w:sz w:val="24"/>
          <w:highlight w:val="none"/>
          <w:u w:val="single"/>
        </w:rPr>
        <w:t xml:space="preserve">                            </w:t>
      </w:r>
    </w:p>
    <w:p>
      <w:pPr>
        <w:spacing w:after="240" w:afterLines="100"/>
        <w:rPr>
          <w:rFonts w:hint="eastAsia" w:ascii="华文宋体" w:hAnsi="华文宋体" w:eastAsia="华文宋体" w:cs="华文宋体"/>
          <w:bCs/>
          <w:color w:val="auto"/>
          <w:sz w:val="24"/>
          <w:highlight w:val="none"/>
        </w:rPr>
      </w:pPr>
      <w:r>
        <w:rPr>
          <w:rFonts w:hint="eastAsia" w:ascii="华文宋体" w:hAnsi="华文宋体" w:eastAsia="华文宋体" w:cs="华文宋体"/>
          <w:bCs/>
          <w:color w:val="auto"/>
          <w:sz w:val="24"/>
          <w:highlight w:val="none"/>
        </w:rPr>
        <w:t>供应商名称：</w:t>
      </w:r>
      <w:r>
        <w:rPr>
          <w:rFonts w:hint="eastAsia" w:ascii="华文宋体" w:hAnsi="华文宋体" w:eastAsia="华文宋体" w:cs="华文宋体"/>
          <w:bCs/>
          <w:color w:val="auto"/>
          <w:sz w:val="24"/>
          <w:highlight w:val="none"/>
          <w:u w:val="single"/>
        </w:rPr>
        <w:tab/>
      </w:r>
      <w:r>
        <w:rPr>
          <w:rFonts w:hint="eastAsia" w:ascii="华文宋体" w:hAnsi="华文宋体" w:eastAsia="华文宋体" w:cs="华文宋体"/>
          <w:bCs/>
          <w:color w:val="auto"/>
          <w:sz w:val="24"/>
          <w:highlight w:val="none"/>
          <w:u w:val="single"/>
        </w:rPr>
        <w:tab/>
      </w:r>
      <w:r>
        <w:rPr>
          <w:rFonts w:hint="eastAsia" w:ascii="华文宋体" w:hAnsi="华文宋体" w:eastAsia="华文宋体" w:cs="华文宋体"/>
          <w:bCs/>
          <w:color w:val="auto"/>
          <w:sz w:val="24"/>
          <w:highlight w:val="none"/>
          <w:u w:val="single"/>
        </w:rPr>
        <w:tab/>
      </w:r>
      <w:r>
        <w:rPr>
          <w:rFonts w:hint="eastAsia" w:ascii="华文宋体" w:hAnsi="华文宋体" w:eastAsia="华文宋体" w:cs="华文宋体"/>
          <w:bCs/>
          <w:color w:val="auto"/>
          <w:sz w:val="24"/>
          <w:highlight w:val="none"/>
          <w:u w:val="single"/>
        </w:rPr>
        <w:tab/>
      </w:r>
      <w:r>
        <w:rPr>
          <w:rFonts w:hint="eastAsia" w:ascii="华文宋体" w:hAnsi="华文宋体" w:eastAsia="华文宋体" w:cs="华文宋体"/>
          <w:bCs/>
          <w:color w:val="auto"/>
          <w:sz w:val="24"/>
          <w:highlight w:val="none"/>
          <w:u w:val="single"/>
        </w:rPr>
        <w:tab/>
      </w:r>
      <w:r>
        <w:rPr>
          <w:rFonts w:hint="eastAsia" w:ascii="华文宋体" w:hAnsi="华文宋体" w:eastAsia="华文宋体" w:cs="华文宋体"/>
          <w:bCs/>
          <w:color w:val="auto"/>
          <w:sz w:val="24"/>
          <w:highlight w:val="none"/>
          <w:u w:val="single"/>
        </w:rPr>
        <w:tab/>
      </w:r>
      <w:r>
        <w:rPr>
          <w:rFonts w:hint="eastAsia" w:ascii="华文宋体" w:hAnsi="华文宋体" w:eastAsia="华文宋体" w:cs="华文宋体"/>
          <w:bCs/>
          <w:color w:val="auto"/>
          <w:sz w:val="24"/>
          <w:highlight w:val="none"/>
          <w:u w:val="single"/>
        </w:rPr>
        <w:tab/>
      </w:r>
      <w:r>
        <w:rPr>
          <w:rFonts w:hint="eastAsia" w:ascii="华文宋体" w:hAnsi="华文宋体" w:eastAsia="华文宋体" w:cs="华文宋体"/>
          <w:bCs/>
          <w:color w:val="auto"/>
          <w:sz w:val="24"/>
          <w:highlight w:val="none"/>
          <w:u w:val="single"/>
        </w:rPr>
        <w:tab/>
      </w:r>
    </w:p>
    <w:tbl>
      <w:tblPr>
        <w:tblStyle w:val="30"/>
        <w:tblW w:w="9412"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257"/>
        <w:gridCol w:w="2618"/>
        <w:gridCol w:w="2241"/>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808" w:type="dxa"/>
            <w:shd w:val="clear" w:color="auto" w:fill="D7D7D7"/>
            <w:noWrap w:val="0"/>
            <w:vAlign w:val="center"/>
          </w:tcPr>
          <w:p>
            <w:pPr>
              <w:spacing w:line="300" w:lineRule="exact"/>
              <w:ind w:left="-90" w:leftChars="-50" w:right="-90" w:rightChars="-50"/>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项目内容</w:t>
            </w:r>
          </w:p>
        </w:tc>
        <w:tc>
          <w:tcPr>
            <w:tcW w:w="1257" w:type="dxa"/>
            <w:shd w:val="clear" w:color="auto" w:fill="D7D7D7"/>
            <w:noWrap w:val="0"/>
            <w:vAlign w:val="center"/>
          </w:tcPr>
          <w:p>
            <w:pPr>
              <w:spacing w:line="300" w:lineRule="exact"/>
              <w:ind w:left="-90" w:leftChars="-50" w:right="-90" w:rightChars="-50"/>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数量</w:t>
            </w:r>
          </w:p>
        </w:tc>
        <w:tc>
          <w:tcPr>
            <w:tcW w:w="2618" w:type="dxa"/>
            <w:shd w:val="clear" w:color="auto" w:fill="D7D7D7"/>
            <w:noWrap w:val="0"/>
            <w:vAlign w:val="center"/>
          </w:tcPr>
          <w:p>
            <w:pPr>
              <w:spacing w:line="300" w:lineRule="exact"/>
              <w:ind w:left="-90" w:leftChars="-50" w:right="-90" w:rightChars="-50"/>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维修项目工时费折扣率</w:t>
            </w:r>
          </w:p>
          <w:p>
            <w:pPr>
              <w:spacing w:line="300" w:lineRule="exact"/>
              <w:ind w:left="-90" w:leftChars="-50" w:right="-90" w:rightChars="-50"/>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0%</w:t>
            </w:r>
            <w:r>
              <w:rPr>
                <w:rFonts w:hint="eastAsia" w:ascii="华文宋体" w:hAnsi="华文宋体" w:eastAsia="华文宋体" w:cs="华文宋体"/>
                <w:color w:val="auto"/>
                <w:kern w:val="0"/>
                <w:sz w:val="21"/>
                <w:szCs w:val="21"/>
                <w:highlight w:val="none"/>
              </w:rPr>
              <w:t>＜</w:t>
            </w:r>
            <w:r>
              <w:rPr>
                <w:rFonts w:hint="eastAsia" w:ascii="华文宋体" w:hAnsi="华文宋体" w:eastAsia="华文宋体" w:cs="华文宋体"/>
                <w:b/>
                <w:color w:val="auto"/>
                <w:sz w:val="23"/>
                <w:szCs w:val="23"/>
                <w:highlight w:val="none"/>
              </w:rPr>
              <w:t>维修项目工时费折扣率≤100%</w:t>
            </w:r>
          </w:p>
        </w:tc>
        <w:tc>
          <w:tcPr>
            <w:tcW w:w="2241" w:type="dxa"/>
            <w:shd w:val="clear" w:color="auto" w:fill="D7D7D7"/>
            <w:noWrap w:val="0"/>
            <w:vAlign w:val="center"/>
          </w:tcPr>
          <w:p>
            <w:pPr>
              <w:spacing w:line="300" w:lineRule="exact"/>
              <w:ind w:left="-90" w:leftChars="-50" w:right="-90" w:rightChars="-50"/>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附加管理费费率</w:t>
            </w:r>
          </w:p>
          <w:p>
            <w:pPr>
              <w:spacing w:line="300" w:lineRule="exact"/>
              <w:ind w:left="-90" w:leftChars="-50" w:right="-90" w:rightChars="-50"/>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0%</w:t>
            </w:r>
            <w:r>
              <w:rPr>
                <w:rFonts w:hint="eastAsia" w:ascii="华文宋体" w:hAnsi="华文宋体" w:eastAsia="华文宋体" w:cs="华文宋体"/>
                <w:color w:val="auto"/>
                <w:kern w:val="0"/>
                <w:sz w:val="21"/>
                <w:szCs w:val="21"/>
                <w:highlight w:val="none"/>
              </w:rPr>
              <w:t>＜</w:t>
            </w:r>
            <w:r>
              <w:rPr>
                <w:rFonts w:hint="eastAsia" w:ascii="华文宋体" w:hAnsi="华文宋体" w:eastAsia="华文宋体" w:cs="华文宋体"/>
                <w:b/>
                <w:color w:val="auto"/>
                <w:sz w:val="23"/>
                <w:szCs w:val="23"/>
                <w:highlight w:val="none"/>
              </w:rPr>
              <w:t>附加管理费费率≤100%</w:t>
            </w:r>
          </w:p>
        </w:tc>
        <w:tc>
          <w:tcPr>
            <w:tcW w:w="1488" w:type="dxa"/>
            <w:shd w:val="clear" w:color="auto" w:fill="D7D7D7"/>
            <w:noWrap w:val="0"/>
            <w:vAlign w:val="center"/>
          </w:tcPr>
          <w:p>
            <w:pPr>
              <w:spacing w:line="300" w:lineRule="exact"/>
              <w:ind w:left="-90" w:leftChars="-50" w:right="-90" w:rightChars="-50"/>
              <w:jc w:val="center"/>
              <w:rPr>
                <w:rFonts w:hint="eastAsia" w:ascii="华文宋体" w:hAnsi="华文宋体" w:eastAsia="华文宋体" w:cs="华文宋体"/>
                <w:b/>
                <w:color w:val="auto"/>
                <w:sz w:val="23"/>
                <w:szCs w:val="23"/>
                <w:highlight w:val="none"/>
              </w:rPr>
            </w:pPr>
            <w:r>
              <w:rPr>
                <w:rFonts w:hint="eastAsia" w:ascii="华文宋体" w:hAnsi="华文宋体" w:eastAsia="华文宋体" w:cs="华文宋体"/>
                <w:b/>
                <w:color w:val="auto"/>
                <w:sz w:val="23"/>
                <w:szCs w:val="23"/>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1808" w:type="dxa"/>
            <w:noWrap w:val="0"/>
            <w:vAlign w:val="center"/>
          </w:tcPr>
          <w:p>
            <w:pPr>
              <w:spacing w:before="120" w:beforeLines="50" w:after="120" w:afterLines="50" w:line="340" w:lineRule="exact"/>
              <w:ind w:left="-90" w:leftChars="-50" w:right="-90" w:rightChars="-50"/>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消防车辆维修和保养服务</w:t>
            </w:r>
          </w:p>
        </w:tc>
        <w:tc>
          <w:tcPr>
            <w:tcW w:w="1257" w:type="dxa"/>
            <w:noWrap w:val="0"/>
            <w:vAlign w:val="center"/>
          </w:tcPr>
          <w:p>
            <w:pPr>
              <w:spacing w:line="300" w:lineRule="exact"/>
              <w:ind w:left="-90" w:leftChars="-50" w:right="-90" w:rightChars="-50"/>
              <w:jc w:val="center"/>
              <w:rPr>
                <w:rFonts w:hint="eastAsia" w:ascii="华文宋体" w:hAnsi="华文宋体" w:eastAsia="华文宋体" w:cs="华文宋体"/>
                <w:bCs/>
                <w:color w:val="auto"/>
                <w:sz w:val="23"/>
                <w:szCs w:val="23"/>
                <w:highlight w:val="none"/>
              </w:rPr>
            </w:pPr>
            <w:r>
              <w:rPr>
                <w:rFonts w:hint="eastAsia" w:ascii="华文宋体" w:hAnsi="华文宋体" w:eastAsia="华文宋体" w:cs="华文宋体"/>
                <w:bCs/>
                <w:color w:val="auto"/>
                <w:sz w:val="23"/>
                <w:szCs w:val="23"/>
                <w:highlight w:val="none"/>
              </w:rPr>
              <w:t>1项</w:t>
            </w:r>
          </w:p>
        </w:tc>
        <w:tc>
          <w:tcPr>
            <w:tcW w:w="2618" w:type="dxa"/>
            <w:noWrap w:val="0"/>
            <w:vAlign w:val="center"/>
          </w:tcPr>
          <w:p>
            <w:pPr>
              <w:adjustRightInd w:val="0"/>
              <w:snapToGrid w:val="0"/>
              <w:ind w:firstLine="586" w:firstLineChars="255"/>
              <w:jc w:val="left"/>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 w:val="23"/>
                <w:szCs w:val="23"/>
                <w:highlight w:val="none"/>
              </w:rPr>
              <w:t xml:space="preserve"> </w:t>
            </w:r>
            <w:r>
              <w:rPr>
                <w:rFonts w:hint="eastAsia" w:ascii="华文宋体" w:hAnsi="华文宋体" w:eastAsia="华文宋体" w:cs="华文宋体"/>
                <w:bCs/>
                <w:color w:val="auto"/>
                <w:sz w:val="23"/>
                <w:szCs w:val="23"/>
                <w:highlight w:val="none"/>
                <w:u w:val="single"/>
              </w:rPr>
              <w:t xml:space="preserve">      </w:t>
            </w:r>
            <w:r>
              <w:rPr>
                <w:rFonts w:hint="eastAsia" w:ascii="华文宋体" w:hAnsi="华文宋体" w:eastAsia="华文宋体" w:cs="华文宋体"/>
                <w:bCs/>
                <w:color w:val="auto"/>
                <w:sz w:val="23"/>
                <w:szCs w:val="23"/>
                <w:highlight w:val="none"/>
              </w:rPr>
              <w:t>%</w:t>
            </w:r>
          </w:p>
        </w:tc>
        <w:tc>
          <w:tcPr>
            <w:tcW w:w="2241" w:type="dxa"/>
            <w:noWrap w:val="0"/>
            <w:vAlign w:val="center"/>
          </w:tcPr>
          <w:p>
            <w:pPr>
              <w:spacing w:before="120" w:beforeLines="50" w:after="120" w:afterLines="50" w:line="340" w:lineRule="exact"/>
              <w:ind w:left="-90" w:leftChars="-50" w:right="-90" w:rightChars="-50"/>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bCs/>
                <w:color w:val="auto"/>
                <w:sz w:val="23"/>
                <w:szCs w:val="23"/>
                <w:highlight w:val="none"/>
              </w:rPr>
              <w:t xml:space="preserve"> </w:t>
            </w:r>
            <w:r>
              <w:rPr>
                <w:rFonts w:hint="eastAsia" w:ascii="华文宋体" w:hAnsi="华文宋体" w:eastAsia="华文宋体" w:cs="华文宋体"/>
                <w:bCs/>
                <w:color w:val="auto"/>
                <w:sz w:val="23"/>
                <w:szCs w:val="23"/>
                <w:highlight w:val="none"/>
                <w:u w:val="single"/>
              </w:rPr>
              <w:t xml:space="preserve">      </w:t>
            </w:r>
            <w:r>
              <w:rPr>
                <w:rFonts w:hint="eastAsia" w:ascii="华文宋体" w:hAnsi="华文宋体" w:eastAsia="华文宋体" w:cs="华文宋体"/>
                <w:bCs/>
                <w:color w:val="auto"/>
                <w:sz w:val="23"/>
                <w:szCs w:val="23"/>
                <w:highlight w:val="none"/>
              </w:rPr>
              <w:t>%</w:t>
            </w:r>
            <w:r>
              <w:rPr>
                <w:rFonts w:hint="eastAsia" w:ascii="华文宋体" w:hAnsi="华文宋体" w:eastAsia="华文宋体" w:cs="华文宋体"/>
                <w:color w:val="auto"/>
                <w:sz w:val="23"/>
                <w:szCs w:val="23"/>
                <w:highlight w:val="none"/>
              </w:rPr>
              <w:t xml:space="preserve">       </w:t>
            </w:r>
          </w:p>
        </w:tc>
        <w:tc>
          <w:tcPr>
            <w:tcW w:w="1488" w:type="dxa"/>
            <w:noWrap w:val="0"/>
            <w:vAlign w:val="center"/>
          </w:tcPr>
          <w:p>
            <w:pPr>
              <w:spacing w:before="120" w:beforeLines="50" w:after="120" w:afterLines="50" w:line="340" w:lineRule="exact"/>
              <w:ind w:left="-90" w:leftChars="-50" w:right="-90" w:rightChars="-50"/>
              <w:jc w:val="center"/>
              <w:rPr>
                <w:rFonts w:hint="eastAsia" w:ascii="华文宋体" w:hAnsi="华文宋体" w:eastAsia="华文宋体" w:cs="华文宋体"/>
                <w:color w:val="auto"/>
                <w:sz w:val="23"/>
                <w:szCs w:val="23"/>
                <w:highlight w:val="none"/>
              </w:rPr>
            </w:pPr>
            <w:r>
              <w:rPr>
                <w:rFonts w:hint="eastAsia" w:ascii="华文宋体" w:hAnsi="华文宋体" w:eastAsia="华文宋体" w:cs="华文宋体"/>
                <w:color w:val="auto"/>
                <w:sz w:val="23"/>
                <w:szCs w:val="23"/>
                <w:highlight w:val="none"/>
              </w:rPr>
              <w:t>合同签订之日起一年内</w:t>
            </w:r>
          </w:p>
        </w:tc>
      </w:tr>
    </w:tbl>
    <w:p>
      <w:pPr>
        <w:spacing w:before="120" w:beforeLines="50" w:line="380" w:lineRule="exact"/>
        <w:ind w:left="431" w:hanging="431" w:hangingChars="196"/>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备注：</w:t>
      </w:r>
    </w:p>
    <w:p>
      <w:pPr>
        <w:numPr>
          <w:ilvl w:val="0"/>
          <w:numId w:val="155"/>
        </w:numPr>
        <w:spacing w:line="380" w:lineRule="exact"/>
        <w:ind w:left="229" w:hanging="228" w:hangingChars="104"/>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供应商须按要求填写，不得随意更改本表格式；</w:t>
      </w:r>
    </w:p>
    <w:p>
      <w:pPr>
        <w:keepNext w:val="0"/>
        <w:keepLines w:val="0"/>
        <w:pageBreakBefore w:val="0"/>
        <w:widowControl w:val="0"/>
        <w:numPr>
          <w:ilvl w:val="0"/>
          <w:numId w:val="155"/>
        </w:numPr>
        <w:kinsoku/>
        <w:wordWrap/>
        <w:overflowPunct/>
        <w:topLinePunct w:val="0"/>
        <w:autoSpaceDE/>
        <w:autoSpaceDN/>
        <w:bidi w:val="0"/>
        <w:adjustRightInd/>
        <w:snapToGrid/>
        <w:spacing w:line="380" w:lineRule="exact"/>
        <w:ind w:left="229" w:hanging="229" w:hangingChars="104"/>
        <w:textAlignment w:val="auto"/>
        <w:rPr>
          <w:rFonts w:hint="eastAsia" w:ascii="华文宋体" w:hAnsi="华文宋体" w:eastAsia="华文宋体" w:cs="华文宋体"/>
          <w:color w:val="auto"/>
          <w:sz w:val="22"/>
          <w:highlight w:val="none"/>
        </w:rPr>
      </w:pPr>
      <w:r>
        <w:rPr>
          <w:rFonts w:hint="eastAsia" w:ascii="华文宋体" w:hAnsi="华文宋体" w:eastAsia="华文宋体" w:cs="华文宋体"/>
          <w:b/>
          <w:bCs/>
          <w:color w:val="auto"/>
          <w:sz w:val="22"/>
          <w:highlight w:val="none"/>
        </w:rPr>
        <w:t>此表是竞争性磋商响应文件的必要部分，按竞争性磋商文件的要求，还需另一份原件附在</w:t>
      </w:r>
      <w:bookmarkStart w:id="184" w:name="_Hlk7198252"/>
      <w:r>
        <w:rPr>
          <w:rFonts w:hint="eastAsia" w:ascii="华文宋体" w:hAnsi="华文宋体" w:eastAsia="华文宋体" w:cs="华文宋体"/>
          <w:b/>
          <w:bCs/>
          <w:color w:val="auto"/>
          <w:sz w:val="22"/>
          <w:highlight w:val="none"/>
        </w:rPr>
        <w:t>报价信封</w:t>
      </w:r>
      <w:bookmarkEnd w:id="184"/>
      <w:r>
        <w:rPr>
          <w:rFonts w:hint="eastAsia" w:ascii="华文宋体" w:hAnsi="华文宋体" w:eastAsia="华文宋体" w:cs="华文宋体"/>
          <w:b/>
          <w:bCs/>
          <w:color w:val="auto"/>
          <w:sz w:val="22"/>
          <w:highlight w:val="none"/>
        </w:rPr>
        <w:t>中；</w:t>
      </w:r>
    </w:p>
    <w:p>
      <w:pPr>
        <w:keepNext w:val="0"/>
        <w:keepLines w:val="0"/>
        <w:pageBreakBefore w:val="0"/>
        <w:widowControl w:val="0"/>
        <w:numPr>
          <w:ilvl w:val="0"/>
          <w:numId w:val="155"/>
        </w:numPr>
        <w:kinsoku/>
        <w:wordWrap/>
        <w:overflowPunct/>
        <w:topLinePunct w:val="0"/>
        <w:autoSpaceDE/>
        <w:autoSpaceDN/>
        <w:bidi w:val="0"/>
        <w:adjustRightInd/>
        <w:snapToGrid/>
        <w:spacing w:line="380" w:lineRule="exact"/>
        <w:ind w:left="284" w:hanging="284"/>
        <w:textAlignment w:val="auto"/>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实际结算金额=维修项目工时费收费标准×维修项目工时费折扣率+零配件进货价格×（1+附加管理费费率）。</w:t>
      </w:r>
    </w:p>
    <w:p>
      <w:pPr>
        <w:pStyle w:val="47"/>
        <w:keepNext w:val="0"/>
        <w:keepLines w:val="0"/>
        <w:pageBreakBefore w:val="0"/>
        <w:widowControl w:val="0"/>
        <w:numPr>
          <w:ilvl w:val="0"/>
          <w:numId w:val="155"/>
        </w:numPr>
        <w:kinsoku/>
        <w:wordWrap/>
        <w:overflowPunct/>
        <w:topLinePunct w:val="0"/>
        <w:autoSpaceDE/>
        <w:autoSpaceDN/>
        <w:bidi w:val="0"/>
        <w:adjustRightInd/>
        <w:snapToGrid/>
        <w:spacing w:line="380" w:lineRule="exact"/>
        <w:ind w:left="229" w:hanging="228" w:hangingChars="104"/>
        <w:textAlignment w:val="auto"/>
        <w:rPr>
          <w:rFonts w:hint="eastAsia" w:ascii="华文宋体" w:hAnsi="华文宋体" w:eastAsia="华文宋体" w:cs="华文宋体"/>
          <w:color w:val="auto"/>
          <w:sz w:val="22"/>
          <w:highlight w:val="none"/>
        </w:rPr>
      </w:pPr>
      <w:r>
        <w:rPr>
          <w:rFonts w:hint="eastAsia" w:ascii="华文宋体" w:hAnsi="华文宋体" w:eastAsia="华文宋体" w:cs="华文宋体"/>
          <w:color w:val="auto"/>
          <w:sz w:val="22"/>
          <w:highlight w:val="none"/>
        </w:rPr>
        <w:t>投标报价均应包含国家规定的税费。</w:t>
      </w:r>
    </w:p>
    <w:p>
      <w:pPr>
        <w:pStyle w:val="47"/>
        <w:keepNext w:val="0"/>
        <w:keepLines w:val="0"/>
        <w:pageBreakBefore w:val="0"/>
        <w:widowControl w:val="0"/>
        <w:numPr>
          <w:ilvl w:val="0"/>
          <w:numId w:val="155"/>
        </w:numPr>
        <w:kinsoku/>
        <w:wordWrap/>
        <w:overflowPunct/>
        <w:topLinePunct w:val="0"/>
        <w:autoSpaceDE/>
        <w:autoSpaceDN/>
        <w:bidi w:val="0"/>
        <w:adjustRightInd/>
        <w:snapToGrid/>
        <w:spacing w:line="380" w:lineRule="exact"/>
        <w:ind w:left="219" w:hanging="219" w:hangingChars="104"/>
        <w:textAlignment w:val="auto"/>
        <w:rPr>
          <w:rFonts w:hint="eastAsia" w:ascii="华文宋体" w:hAnsi="华文宋体" w:eastAsia="华文宋体" w:cs="华文宋体"/>
          <w:color w:val="auto"/>
          <w:sz w:val="22"/>
          <w:highlight w:val="none"/>
        </w:rPr>
      </w:pPr>
      <w:r>
        <w:rPr>
          <w:rFonts w:hint="eastAsia" w:ascii="华文宋体" w:hAnsi="华文宋体" w:eastAsia="华文宋体" w:cs="华文宋体"/>
          <w:b/>
          <w:color w:val="auto"/>
          <w:highlight w:val="none"/>
        </w:rPr>
        <w:t>“维修项目工时费折扣率”范围为：0%</w:t>
      </w:r>
      <w:r>
        <w:rPr>
          <w:rFonts w:hint="eastAsia" w:ascii="华文宋体" w:hAnsi="华文宋体" w:eastAsia="华文宋体" w:cs="华文宋体"/>
          <w:color w:val="auto"/>
          <w:kern w:val="0"/>
          <w:sz w:val="21"/>
          <w:szCs w:val="21"/>
          <w:highlight w:val="none"/>
        </w:rPr>
        <w:t>＜</w:t>
      </w:r>
      <w:r>
        <w:rPr>
          <w:rFonts w:hint="eastAsia" w:ascii="华文宋体" w:hAnsi="华文宋体" w:eastAsia="华文宋体" w:cs="华文宋体"/>
          <w:b/>
          <w:bCs/>
          <w:color w:val="auto"/>
          <w:highlight w:val="none"/>
        </w:rPr>
        <w:t>维修项目工时费折扣率</w:t>
      </w:r>
      <w:r>
        <w:rPr>
          <w:rFonts w:hint="eastAsia" w:ascii="华文宋体" w:hAnsi="华文宋体" w:eastAsia="华文宋体" w:cs="华文宋体"/>
          <w:b/>
          <w:color w:val="auto"/>
          <w:highlight w:val="none"/>
        </w:rPr>
        <w:t>≤100%，维修项目工时费折扣率必须为固定值，不接受区间报价，供应商未按要求进行填报的，作无效投标处理。</w:t>
      </w:r>
    </w:p>
    <w:p>
      <w:pPr>
        <w:pStyle w:val="47"/>
        <w:numPr>
          <w:ilvl w:val="0"/>
          <w:numId w:val="155"/>
        </w:numPr>
        <w:spacing w:line="380" w:lineRule="exact"/>
        <w:ind w:left="219" w:hanging="219" w:hangingChars="104"/>
        <w:rPr>
          <w:rFonts w:hint="eastAsia" w:ascii="华文宋体" w:hAnsi="华文宋体" w:eastAsia="华文宋体" w:cs="华文宋体"/>
          <w:color w:val="auto"/>
          <w:sz w:val="22"/>
          <w:highlight w:val="none"/>
        </w:rPr>
      </w:pPr>
      <w:r>
        <w:rPr>
          <w:rFonts w:hint="eastAsia" w:ascii="华文宋体" w:hAnsi="华文宋体" w:eastAsia="华文宋体" w:cs="华文宋体"/>
          <w:b/>
          <w:color w:val="auto"/>
          <w:highlight w:val="none"/>
        </w:rPr>
        <w:t>“附加管理费费率”范围为：0%</w:t>
      </w:r>
      <w:r>
        <w:rPr>
          <w:rFonts w:hint="eastAsia" w:ascii="华文宋体" w:hAnsi="华文宋体" w:eastAsia="华文宋体" w:cs="华文宋体"/>
          <w:color w:val="auto"/>
          <w:kern w:val="0"/>
          <w:sz w:val="21"/>
          <w:szCs w:val="21"/>
          <w:highlight w:val="none"/>
        </w:rPr>
        <w:t>＜</w:t>
      </w:r>
      <w:r>
        <w:rPr>
          <w:rFonts w:hint="eastAsia" w:ascii="华文宋体" w:hAnsi="华文宋体" w:eastAsia="华文宋体" w:cs="华文宋体"/>
          <w:b/>
          <w:color w:val="auto"/>
          <w:highlight w:val="none"/>
        </w:rPr>
        <w:t>附加管理费费率≤100%，附加管理费费率必须为固定值，不接受区间报价，供应商未按要求进行填报的，作无效投标处理</w:t>
      </w:r>
      <w:r>
        <w:rPr>
          <w:rFonts w:hint="eastAsia" w:ascii="华文宋体" w:hAnsi="华文宋体" w:eastAsia="华文宋体" w:cs="华文宋体"/>
          <w:color w:val="auto"/>
          <w:sz w:val="22"/>
          <w:highlight w:val="none"/>
        </w:rPr>
        <w:t>。</w:t>
      </w:r>
    </w:p>
    <w:p>
      <w:pPr>
        <w:spacing w:line="360" w:lineRule="auto"/>
        <w:ind w:left="420"/>
        <w:rPr>
          <w:rFonts w:hint="eastAsia" w:ascii="华文宋体" w:hAnsi="华文宋体" w:eastAsia="华文宋体" w:cs="华文宋体"/>
          <w:color w:val="auto"/>
          <w:szCs w:val="21"/>
          <w:highlight w:val="none"/>
        </w:rPr>
      </w:pPr>
    </w:p>
    <w:p>
      <w:pPr>
        <w:pStyle w:val="25"/>
        <w:ind w:left="360"/>
        <w:rPr>
          <w:rFonts w:hint="eastAsia" w:ascii="华文宋体" w:hAnsi="华文宋体" w:eastAsia="华文宋体" w:cs="华文宋体"/>
          <w:color w:val="auto"/>
          <w:highlight w:val="none"/>
        </w:rPr>
      </w:pPr>
    </w:p>
    <w:p>
      <w:pPr>
        <w:adjustRightInd w:val="0"/>
        <w:snapToGrid w:val="0"/>
        <w:spacing w:line="480" w:lineRule="auto"/>
        <w:ind w:left="3728" w:leftChars="1800" w:hanging="488" w:hangingChars="197"/>
        <w:rPr>
          <w:rFonts w:hint="eastAsia" w:ascii="华文宋体" w:hAnsi="华文宋体" w:eastAsia="华文宋体" w:cs="华文宋体"/>
          <w:color w:val="auto"/>
          <w:sz w:val="24"/>
          <w:highlight w:val="none"/>
          <w:u w:val="single"/>
        </w:rPr>
      </w:pPr>
      <w:r>
        <w:rPr>
          <w:rFonts w:hint="eastAsia" w:ascii="华文宋体" w:hAnsi="华文宋体" w:eastAsia="华文宋体" w:cs="华文宋体"/>
          <w:color w:val="auto"/>
          <w:spacing w:val="4"/>
          <w:sz w:val="24"/>
          <w:highlight w:val="none"/>
        </w:rPr>
        <w:t>供应商名称（公章）：</w:t>
      </w:r>
      <w:r>
        <w:rPr>
          <w:rFonts w:hint="eastAsia" w:ascii="华文宋体" w:hAnsi="华文宋体" w:eastAsia="华文宋体" w:cs="华文宋体"/>
          <w:color w:val="auto"/>
          <w:spacing w:val="4"/>
          <w:sz w:val="24"/>
          <w:highlight w:val="none"/>
          <w:u w:val="single"/>
        </w:rPr>
        <w:t xml:space="preserve">                        </w:t>
      </w:r>
    </w:p>
    <w:p>
      <w:pPr>
        <w:adjustRightInd w:val="0"/>
        <w:snapToGrid w:val="0"/>
        <w:spacing w:line="480" w:lineRule="auto"/>
        <w:ind w:left="3728" w:leftChars="1800" w:hanging="488" w:hangingChars="197"/>
        <w:rPr>
          <w:rFonts w:hint="eastAsia" w:ascii="华文宋体" w:hAnsi="华文宋体" w:eastAsia="华文宋体" w:cs="华文宋体"/>
          <w:color w:val="auto"/>
          <w:spacing w:val="4"/>
          <w:sz w:val="24"/>
          <w:highlight w:val="none"/>
          <w:u w:val="single"/>
        </w:rPr>
      </w:pPr>
      <w:r>
        <w:rPr>
          <w:rFonts w:hint="eastAsia" w:ascii="华文宋体" w:hAnsi="华文宋体" w:eastAsia="华文宋体" w:cs="华文宋体"/>
          <w:color w:val="auto"/>
          <w:spacing w:val="4"/>
          <w:sz w:val="24"/>
          <w:highlight w:val="none"/>
        </w:rPr>
        <w:t>法定代表人或其授权代表（签名）：</w:t>
      </w:r>
      <w:r>
        <w:rPr>
          <w:rFonts w:hint="eastAsia" w:ascii="华文宋体" w:hAnsi="华文宋体" w:eastAsia="华文宋体" w:cs="华文宋体"/>
          <w:color w:val="auto"/>
          <w:spacing w:val="4"/>
          <w:sz w:val="24"/>
          <w:highlight w:val="none"/>
          <w:u w:val="single"/>
        </w:rPr>
        <w:t xml:space="preserve">            </w:t>
      </w:r>
    </w:p>
    <w:p>
      <w:pPr>
        <w:adjustRightInd w:val="0"/>
        <w:snapToGrid w:val="0"/>
        <w:spacing w:line="360" w:lineRule="auto"/>
        <w:ind w:left="3728" w:leftChars="1800" w:right="480" w:hanging="488" w:hangingChars="197"/>
        <w:rPr>
          <w:rFonts w:hint="eastAsia" w:ascii="华文宋体" w:hAnsi="华文宋体" w:eastAsia="华文宋体" w:cs="华文宋体"/>
          <w:color w:val="auto"/>
          <w:spacing w:val="4"/>
          <w:sz w:val="24"/>
          <w:highlight w:val="none"/>
        </w:rPr>
      </w:pPr>
      <w:r>
        <w:rPr>
          <w:rFonts w:hint="eastAsia" w:ascii="华文宋体" w:hAnsi="华文宋体" w:eastAsia="华文宋体" w:cs="华文宋体"/>
          <w:color w:val="auto"/>
          <w:spacing w:val="4"/>
          <w:sz w:val="24"/>
          <w:highlight w:val="none"/>
        </w:rPr>
        <w:t>日期：</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年</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月</w:t>
      </w:r>
      <w:r>
        <w:rPr>
          <w:rFonts w:hint="eastAsia" w:ascii="华文宋体" w:hAnsi="华文宋体" w:eastAsia="华文宋体" w:cs="华文宋体"/>
          <w:color w:val="auto"/>
          <w:spacing w:val="4"/>
          <w:sz w:val="24"/>
          <w:highlight w:val="none"/>
          <w:u w:val="single"/>
        </w:rPr>
        <w:t xml:space="preserve">    </w:t>
      </w:r>
      <w:r>
        <w:rPr>
          <w:rFonts w:hint="eastAsia" w:ascii="华文宋体" w:hAnsi="华文宋体" w:eastAsia="华文宋体" w:cs="华文宋体"/>
          <w:color w:val="auto"/>
          <w:spacing w:val="4"/>
          <w:sz w:val="24"/>
          <w:highlight w:val="none"/>
        </w:rPr>
        <w:t>日</w:t>
      </w:r>
    </w:p>
    <w:p>
      <w:pPr>
        <w:adjustRightInd w:val="0"/>
        <w:snapToGrid w:val="0"/>
        <w:spacing w:line="240" w:lineRule="exact"/>
        <w:ind w:right="482"/>
        <w:rPr>
          <w:rFonts w:hint="eastAsia" w:ascii="华文宋体" w:hAnsi="华文宋体" w:eastAsia="华文宋体" w:cs="华文宋体"/>
          <w:bCs/>
          <w:color w:val="auto"/>
          <w:szCs w:val="21"/>
          <w:highlight w:val="none"/>
        </w:rPr>
      </w:pPr>
    </w:p>
    <w:p>
      <w:pPr>
        <w:tabs>
          <w:tab w:val="left" w:pos="720"/>
        </w:tabs>
        <w:spacing w:line="240" w:lineRule="exact"/>
        <w:jc w:val="center"/>
        <w:rPr>
          <w:rFonts w:hint="eastAsia" w:ascii="华文宋体" w:hAnsi="华文宋体" w:eastAsia="华文宋体" w:cs="华文宋体"/>
          <w:b/>
          <w:color w:val="auto"/>
          <w:sz w:val="28"/>
          <w:szCs w:val="28"/>
          <w:highlight w:val="none"/>
          <w:lang w:val="en-GB"/>
        </w:rPr>
      </w:pPr>
      <w:r>
        <w:rPr>
          <w:rFonts w:hint="eastAsia" w:ascii="华文宋体" w:hAnsi="华文宋体" w:eastAsia="华文宋体" w:cs="华文宋体"/>
          <w:b/>
          <w:color w:val="auto"/>
          <w:sz w:val="28"/>
          <w:szCs w:val="28"/>
          <w:highlight w:val="none"/>
          <w:lang w:val="en-GB"/>
        </w:rPr>
        <w:br w:type="page"/>
      </w:r>
    </w:p>
    <w:p>
      <w:pPr>
        <w:tabs>
          <w:tab w:val="left" w:pos="720"/>
        </w:tabs>
        <w:jc w:val="center"/>
        <w:rPr>
          <w:rFonts w:hint="eastAsia" w:ascii="华文宋体" w:hAnsi="华文宋体" w:eastAsia="华文宋体" w:cs="华文宋体"/>
          <w:b/>
          <w:color w:val="auto"/>
          <w:sz w:val="32"/>
          <w:szCs w:val="32"/>
          <w:highlight w:val="none"/>
          <w:lang w:val="en-GB"/>
        </w:rPr>
      </w:pPr>
      <w:r>
        <w:rPr>
          <w:rFonts w:hint="eastAsia" w:ascii="华文宋体" w:hAnsi="华文宋体" w:eastAsia="华文宋体" w:cs="华文宋体"/>
          <w:b/>
          <w:color w:val="auto"/>
          <w:sz w:val="32"/>
          <w:szCs w:val="32"/>
          <w:highlight w:val="none"/>
          <w:lang w:val="en-GB"/>
        </w:rPr>
        <w:t>中小企业声明函</w:t>
      </w:r>
    </w:p>
    <w:p>
      <w:pPr>
        <w:rPr>
          <w:rFonts w:hint="eastAsia" w:ascii="华文宋体" w:hAnsi="华文宋体" w:eastAsia="华文宋体" w:cs="华文宋体"/>
          <w:color w:val="auto"/>
          <w:highlight w:val="none"/>
        </w:rPr>
      </w:pPr>
    </w:p>
    <w:p>
      <w:pPr>
        <w:pStyle w:val="51"/>
        <w:autoSpaceDE w:val="0"/>
        <w:autoSpaceDN w:val="0"/>
        <w:spacing w:line="480" w:lineRule="exact"/>
        <w:ind w:firstLine="480"/>
        <w:jc w:val="left"/>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本公司（联合体）郑重声明，根据《政府采购促进中小企业发展管理办法》（财库﹝2020﹞46号）的规定，本公司（联合体）参加</w:t>
      </w:r>
      <w:r>
        <w:rPr>
          <w:rFonts w:hint="eastAsia" w:ascii="华文宋体" w:hAnsi="华文宋体" w:eastAsia="华文宋体" w:cs="华文宋体"/>
          <w:color w:val="auto"/>
          <w:sz w:val="24"/>
          <w:highlight w:val="none"/>
          <w:u w:val="single"/>
        </w:rPr>
        <w:t xml:space="preserve">    (单位名称)</w:t>
      </w:r>
      <w:r>
        <w:rPr>
          <w:rFonts w:hint="eastAsia" w:ascii="华文宋体" w:hAnsi="华文宋体" w:eastAsia="华文宋体" w:cs="华文宋体"/>
          <w:color w:val="auto"/>
          <w:sz w:val="24"/>
          <w:highlight w:val="none"/>
        </w:rPr>
        <w:t>的</w:t>
      </w:r>
      <w:r>
        <w:rPr>
          <w:rFonts w:hint="eastAsia" w:ascii="华文宋体" w:hAnsi="华文宋体" w:eastAsia="华文宋体" w:cs="华文宋体"/>
          <w:color w:val="auto"/>
          <w:sz w:val="24"/>
          <w:highlight w:val="none"/>
          <w:u w:val="single"/>
        </w:rPr>
        <w:t xml:space="preserve">    (项目名称、编号)  </w:t>
      </w:r>
      <w:r>
        <w:rPr>
          <w:rFonts w:hint="eastAsia" w:ascii="华文宋体" w:hAnsi="华文宋体" w:eastAsia="华文宋体" w:cs="华文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51"/>
        <w:autoSpaceDE w:val="0"/>
        <w:autoSpaceDN w:val="0"/>
        <w:spacing w:line="480" w:lineRule="exact"/>
        <w:ind w:firstLine="480"/>
        <w:jc w:val="left"/>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1.</w:t>
      </w:r>
      <w:r>
        <w:rPr>
          <w:rFonts w:hint="eastAsia" w:ascii="华文宋体" w:hAnsi="华文宋体" w:eastAsia="华文宋体" w:cs="华文宋体"/>
          <w:color w:val="auto"/>
          <w:sz w:val="24"/>
          <w:szCs w:val="24"/>
          <w:highlight w:val="none"/>
          <w:u w:val="single"/>
        </w:rPr>
        <w:t xml:space="preserve">   （标的名称)</w:t>
      </w:r>
      <w:r>
        <w:rPr>
          <w:rFonts w:hint="eastAsia" w:ascii="华文宋体" w:hAnsi="华文宋体" w:eastAsia="华文宋体" w:cs="华文宋体"/>
          <w:color w:val="auto"/>
          <w:sz w:val="24"/>
          <w:szCs w:val="24"/>
          <w:highlight w:val="none"/>
        </w:rPr>
        <w:t>，属于</w:t>
      </w:r>
      <w:r>
        <w:rPr>
          <w:rFonts w:hint="eastAsia" w:ascii="华文宋体" w:hAnsi="华文宋体" w:eastAsia="华文宋体" w:cs="华文宋体"/>
          <w:color w:val="auto"/>
          <w:sz w:val="24"/>
          <w:szCs w:val="24"/>
          <w:highlight w:val="none"/>
          <w:u w:val="single"/>
        </w:rPr>
        <w:t xml:space="preserve">    (采购文件中明确的所属行业)</w:t>
      </w:r>
      <w:r>
        <w:rPr>
          <w:rFonts w:hint="eastAsia" w:ascii="华文宋体" w:hAnsi="华文宋体" w:eastAsia="华文宋体" w:cs="华文宋体"/>
          <w:color w:val="auto"/>
          <w:sz w:val="24"/>
          <w:szCs w:val="24"/>
          <w:highlight w:val="none"/>
        </w:rPr>
        <w:t>；制造商为</w:t>
      </w:r>
      <w:r>
        <w:rPr>
          <w:rFonts w:hint="eastAsia" w:ascii="华文宋体" w:hAnsi="华文宋体" w:eastAsia="华文宋体" w:cs="华文宋体"/>
          <w:color w:val="auto"/>
          <w:sz w:val="24"/>
          <w:szCs w:val="24"/>
          <w:highlight w:val="none"/>
          <w:u w:val="single"/>
        </w:rPr>
        <w:t xml:space="preserve">    (企业名称)</w:t>
      </w:r>
      <w:r>
        <w:rPr>
          <w:rFonts w:hint="eastAsia" w:ascii="华文宋体" w:hAnsi="华文宋体" w:eastAsia="华文宋体" w:cs="华文宋体"/>
          <w:color w:val="auto"/>
          <w:sz w:val="24"/>
          <w:szCs w:val="24"/>
          <w:highlight w:val="none"/>
        </w:rPr>
        <w:t>，从业人员</w:t>
      </w:r>
      <w:r>
        <w:rPr>
          <w:rFonts w:hint="eastAsia" w:ascii="华文宋体" w:hAnsi="华文宋体" w:eastAsia="华文宋体" w:cs="华文宋体"/>
          <w:color w:val="auto"/>
          <w:sz w:val="24"/>
          <w:szCs w:val="24"/>
          <w:highlight w:val="none"/>
          <w:u w:val="single"/>
        </w:rPr>
        <w:t xml:space="preserve">    </w:t>
      </w:r>
      <w:r>
        <w:rPr>
          <w:rFonts w:hint="eastAsia" w:ascii="华文宋体" w:hAnsi="华文宋体" w:eastAsia="华文宋体" w:cs="华文宋体"/>
          <w:color w:val="auto"/>
          <w:sz w:val="24"/>
          <w:szCs w:val="24"/>
          <w:highlight w:val="none"/>
        </w:rPr>
        <w:t>人，营业收入为</w:t>
      </w:r>
      <w:r>
        <w:rPr>
          <w:rFonts w:hint="eastAsia" w:ascii="华文宋体" w:hAnsi="华文宋体" w:eastAsia="华文宋体" w:cs="华文宋体"/>
          <w:color w:val="auto"/>
          <w:sz w:val="24"/>
          <w:szCs w:val="24"/>
          <w:highlight w:val="none"/>
          <w:u w:val="single"/>
        </w:rPr>
        <w:t xml:space="preserve">     </w:t>
      </w:r>
      <w:r>
        <w:rPr>
          <w:rFonts w:hint="eastAsia" w:ascii="华文宋体" w:hAnsi="华文宋体" w:eastAsia="华文宋体" w:cs="华文宋体"/>
          <w:color w:val="auto"/>
          <w:sz w:val="24"/>
          <w:szCs w:val="24"/>
          <w:highlight w:val="none"/>
        </w:rPr>
        <w:t>万元，资产总额为</w:t>
      </w:r>
      <w:r>
        <w:rPr>
          <w:rFonts w:hint="eastAsia" w:ascii="华文宋体" w:hAnsi="华文宋体" w:eastAsia="华文宋体" w:cs="华文宋体"/>
          <w:color w:val="auto"/>
          <w:sz w:val="24"/>
          <w:szCs w:val="24"/>
          <w:highlight w:val="none"/>
          <w:u w:val="single"/>
        </w:rPr>
        <w:t xml:space="preserve">   </w:t>
      </w:r>
      <w:r>
        <w:rPr>
          <w:rFonts w:hint="eastAsia" w:ascii="华文宋体" w:hAnsi="华文宋体" w:eastAsia="华文宋体" w:cs="华文宋体"/>
          <w:color w:val="auto"/>
          <w:sz w:val="24"/>
          <w:szCs w:val="24"/>
          <w:highlight w:val="none"/>
          <w:u w:val="single"/>
        </w:rPr>
        <w:tab/>
      </w:r>
      <w:r>
        <w:rPr>
          <w:rFonts w:hint="eastAsia" w:ascii="华文宋体" w:hAnsi="华文宋体" w:eastAsia="华文宋体" w:cs="华文宋体"/>
          <w:color w:val="auto"/>
          <w:sz w:val="24"/>
          <w:szCs w:val="24"/>
          <w:highlight w:val="none"/>
        </w:rPr>
        <w:t>万元，属于</w:t>
      </w:r>
      <w:r>
        <w:rPr>
          <w:rFonts w:hint="eastAsia" w:ascii="华文宋体" w:hAnsi="华文宋体" w:eastAsia="华文宋体" w:cs="华文宋体"/>
          <w:color w:val="auto"/>
          <w:sz w:val="24"/>
          <w:szCs w:val="24"/>
          <w:highlight w:val="none"/>
          <w:u w:val="single"/>
        </w:rPr>
        <w:t xml:space="preserve">   (中型企业、小型企业、微型企业)</w:t>
      </w:r>
      <w:r>
        <w:rPr>
          <w:rFonts w:hint="eastAsia" w:ascii="华文宋体" w:hAnsi="华文宋体" w:eastAsia="华文宋体" w:cs="华文宋体"/>
          <w:color w:val="auto"/>
          <w:sz w:val="24"/>
          <w:szCs w:val="24"/>
          <w:highlight w:val="none"/>
        </w:rPr>
        <w:t>；</w:t>
      </w:r>
    </w:p>
    <w:p>
      <w:pPr>
        <w:pStyle w:val="51"/>
        <w:autoSpaceDE w:val="0"/>
        <w:autoSpaceDN w:val="0"/>
        <w:spacing w:line="480" w:lineRule="exact"/>
        <w:ind w:firstLine="48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2.</w:t>
      </w:r>
      <w:r>
        <w:rPr>
          <w:rFonts w:hint="eastAsia" w:ascii="华文宋体" w:hAnsi="华文宋体" w:eastAsia="华文宋体" w:cs="华文宋体"/>
          <w:color w:val="auto"/>
          <w:sz w:val="24"/>
          <w:szCs w:val="24"/>
          <w:highlight w:val="none"/>
          <w:u w:val="single"/>
        </w:rPr>
        <w:t xml:space="preserve">   （标的名称)</w:t>
      </w:r>
      <w:r>
        <w:rPr>
          <w:rFonts w:hint="eastAsia" w:ascii="华文宋体" w:hAnsi="华文宋体" w:eastAsia="华文宋体" w:cs="华文宋体"/>
          <w:color w:val="auto"/>
          <w:sz w:val="24"/>
          <w:szCs w:val="24"/>
          <w:highlight w:val="none"/>
        </w:rPr>
        <w:t>，属于</w:t>
      </w:r>
      <w:r>
        <w:rPr>
          <w:rFonts w:hint="eastAsia" w:ascii="华文宋体" w:hAnsi="华文宋体" w:eastAsia="华文宋体" w:cs="华文宋体"/>
          <w:color w:val="auto"/>
          <w:sz w:val="24"/>
          <w:szCs w:val="24"/>
          <w:highlight w:val="none"/>
          <w:u w:val="single"/>
        </w:rPr>
        <w:t xml:space="preserve">    (采购文件中明确的所属行业)</w:t>
      </w:r>
      <w:r>
        <w:rPr>
          <w:rFonts w:hint="eastAsia" w:ascii="华文宋体" w:hAnsi="华文宋体" w:eastAsia="华文宋体" w:cs="华文宋体"/>
          <w:color w:val="auto"/>
          <w:sz w:val="24"/>
          <w:szCs w:val="24"/>
          <w:highlight w:val="none"/>
        </w:rPr>
        <w:t>；制造商为</w:t>
      </w:r>
      <w:r>
        <w:rPr>
          <w:rFonts w:hint="eastAsia" w:ascii="华文宋体" w:hAnsi="华文宋体" w:eastAsia="华文宋体" w:cs="华文宋体"/>
          <w:color w:val="auto"/>
          <w:sz w:val="24"/>
          <w:szCs w:val="24"/>
          <w:highlight w:val="none"/>
          <w:u w:val="single"/>
        </w:rPr>
        <w:t xml:space="preserve">    (企业名称)</w:t>
      </w:r>
      <w:r>
        <w:rPr>
          <w:rFonts w:hint="eastAsia" w:ascii="华文宋体" w:hAnsi="华文宋体" w:eastAsia="华文宋体" w:cs="华文宋体"/>
          <w:color w:val="auto"/>
          <w:sz w:val="24"/>
          <w:szCs w:val="24"/>
          <w:highlight w:val="none"/>
        </w:rPr>
        <w:t>，从业人员</w:t>
      </w:r>
      <w:r>
        <w:rPr>
          <w:rFonts w:hint="eastAsia" w:ascii="华文宋体" w:hAnsi="华文宋体" w:eastAsia="华文宋体" w:cs="华文宋体"/>
          <w:color w:val="auto"/>
          <w:sz w:val="24"/>
          <w:szCs w:val="24"/>
          <w:highlight w:val="none"/>
          <w:u w:val="single"/>
        </w:rPr>
        <w:t xml:space="preserve">    </w:t>
      </w:r>
      <w:r>
        <w:rPr>
          <w:rFonts w:hint="eastAsia" w:ascii="华文宋体" w:hAnsi="华文宋体" w:eastAsia="华文宋体" w:cs="华文宋体"/>
          <w:color w:val="auto"/>
          <w:sz w:val="24"/>
          <w:szCs w:val="24"/>
          <w:highlight w:val="none"/>
        </w:rPr>
        <w:t>人，营业收入为</w:t>
      </w:r>
      <w:r>
        <w:rPr>
          <w:rFonts w:hint="eastAsia" w:ascii="华文宋体" w:hAnsi="华文宋体" w:eastAsia="华文宋体" w:cs="华文宋体"/>
          <w:color w:val="auto"/>
          <w:sz w:val="24"/>
          <w:szCs w:val="24"/>
          <w:highlight w:val="none"/>
          <w:u w:val="single"/>
        </w:rPr>
        <w:t xml:space="preserve">     </w:t>
      </w:r>
      <w:r>
        <w:rPr>
          <w:rFonts w:hint="eastAsia" w:ascii="华文宋体" w:hAnsi="华文宋体" w:eastAsia="华文宋体" w:cs="华文宋体"/>
          <w:color w:val="auto"/>
          <w:sz w:val="24"/>
          <w:szCs w:val="24"/>
          <w:highlight w:val="none"/>
        </w:rPr>
        <w:t>万元，资产总额为</w:t>
      </w:r>
      <w:r>
        <w:rPr>
          <w:rFonts w:hint="eastAsia" w:ascii="华文宋体" w:hAnsi="华文宋体" w:eastAsia="华文宋体" w:cs="华文宋体"/>
          <w:color w:val="auto"/>
          <w:sz w:val="24"/>
          <w:szCs w:val="24"/>
          <w:highlight w:val="none"/>
          <w:u w:val="single"/>
        </w:rPr>
        <w:t xml:space="preserve">   </w:t>
      </w:r>
      <w:r>
        <w:rPr>
          <w:rFonts w:hint="eastAsia" w:ascii="华文宋体" w:hAnsi="华文宋体" w:eastAsia="华文宋体" w:cs="华文宋体"/>
          <w:color w:val="auto"/>
          <w:sz w:val="24"/>
          <w:szCs w:val="24"/>
          <w:highlight w:val="none"/>
          <w:u w:val="single"/>
        </w:rPr>
        <w:tab/>
      </w:r>
      <w:r>
        <w:rPr>
          <w:rFonts w:hint="eastAsia" w:ascii="华文宋体" w:hAnsi="华文宋体" w:eastAsia="华文宋体" w:cs="华文宋体"/>
          <w:color w:val="auto"/>
          <w:sz w:val="24"/>
          <w:szCs w:val="24"/>
          <w:highlight w:val="none"/>
        </w:rPr>
        <w:t>万元，属于</w:t>
      </w:r>
      <w:r>
        <w:rPr>
          <w:rFonts w:hint="eastAsia" w:ascii="华文宋体" w:hAnsi="华文宋体" w:eastAsia="华文宋体" w:cs="华文宋体"/>
          <w:color w:val="auto"/>
          <w:sz w:val="24"/>
          <w:szCs w:val="24"/>
          <w:highlight w:val="none"/>
          <w:u w:val="single"/>
        </w:rPr>
        <w:t xml:space="preserve">   (中型企业、小型企业、微型企业)</w:t>
      </w:r>
      <w:r>
        <w:rPr>
          <w:rFonts w:hint="eastAsia" w:ascii="华文宋体" w:hAnsi="华文宋体" w:eastAsia="华文宋体" w:cs="华文宋体"/>
          <w:color w:val="auto"/>
          <w:sz w:val="24"/>
          <w:szCs w:val="24"/>
          <w:highlight w:val="none"/>
        </w:rPr>
        <w:t>；</w:t>
      </w:r>
    </w:p>
    <w:p>
      <w:pPr>
        <w:pStyle w:val="2"/>
        <w:autoSpaceDE w:val="0"/>
        <w:autoSpaceDN w:val="0"/>
        <w:spacing w:before="11" w:after="0" w:line="480" w:lineRule="exact"/>
        <w:ind w:firstLine="480" w:firstLineChars="20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w:t>
      </w:r>
    </w:p>
    <w:p>
      <w:pPr>
        <w:pStyle w:val="2"/>
        <w:autoSpaceDE w:val="0"/>
        <w:autoSpaceDN w:val="0"/>
        <w:spacing w:before="108" w:line="480" w:lineRule="exact"/>
        <w:ind w:firstLine="480" w:firstLineChars="200"/>
        <w:rPr>
          <w:rFonts w:hint="eastAsia" w:ascii="华文宋体" w:hAnsi="华文宋体" w:eastAsia="华文宋体" w:cs="华文宋体"/>
          <w:color w:val="auto"/>
          <w:sz w:val="24"/>
          <w:szCs w:val="24"/>
          <w:highlight w:val="none"/>
        </w:rPr>
      </w:pPr>
      <w:r>
        <w:rPr>
          <w:rFonts w:hint="eastAsia" w:ascii="华文宋体" w:hAnsi="华文宋体" w:eastAsia="华文宋体" w:cs="华文宋体"/>
          <w:color w:val="auto"/>
          <w:sz w:val="24"/>
          <w:szCs w:val="24"/>
          <w:highlight w:val="none"/>
        </w:rPr>
        <w:t>以上企业，不属于大企业的分支机构，不存在控股股东为大企业的情形，也不存在与大企业的负责人为同一人的情形。</w:t>
      </w:r>
    </w:p>
    <w:p>
      <w:pPr>
        <w:pStyle w:val="2"/>
        <w:autoSpaceDE w:val="0"/>
        <w:autoSpaceDN w:val="0"/>
        <w:spacing w:line="480" w:lineRule="exact"/>
        <w:ind w:firstLine="480" w:firstLineChars="200"/>
        <w:rPr>
          <w:rFonts w:hint="eastAsia" w:ascii="华文宋体" w:hAnsi="华文宋体" w:eastAsia="华文宋体" w:cs="华文宋体"/>
          <w:b/>
          <w:bCs/>
          <w:color w:val="auto"/>
          <w:kern w:val="0"/>
          <w:sz w:val="24"/>
          <w:szCs w:val="24"/>
          <w:highlight w:val="none"/>
          <w:lang w:bidi="ar"/>
        </w:rPr>
      </w:pPr>
      <w:r>
        <w:rPr>
          <w:rFonts w:hint="eastAsia" w:ascii="华文宋体" w:hAnsi="华文宋体" w:eastAsia="华文宋体" w:cs="华文宋体"/>
          <w:color w:val="auto"/>
          <w:sz w:val="24"/>
          <w:szCs w:val="24"/>
          <w:highlight w:val="none"/>
        </w:rPr>
        <w:t>本企业对上述声明内容的真实性负责。如有虚假，将依法承担相应责任。</w:t>
      </w:r>
    </w:p>
    <w:p>
      <w:pPr>
        <w:pStyle w:val="29"/>
        <w:spacing w:line="480" w:lineRule="exact"/>
        <w:ind w:firstLine="180"/>
        <w:rPr>
          <w:rFonts w:hint="eastAsia" w:ascii="华文宋体" w:hAnsi="华文宋体" w:eastAsia="华文宋体" w:cs="华文宋体"/>
          <w:color w:val="auto"/>
          <w:highlight w:val="none"/>
        </w:rPr>
      </w:pPr>
    </w:p>
    <w:p>
      <w:pPr>
        <w:adjustRightInd w:val="0"/>
        <w:snapToGrid w:val="0"/>
        <w:spacing w:line="480" w:lineRule="exact"/>
        <w:ind w:left="-3" w:firstLine="4141" w:firstLineChars="1670"/>
        <w:rPr>
          <w:rFonts w:hint="eastAsia" w:ascii="华文宋体" w:hAnsi="华文宋体" w:eastAsia="华文宋体" w:cs="华文宋体"/>
          <w:color w:val="auto"/>
          <w:spacing w:val="4"/>
          <w:sz w:val="24"/>
          <w:szCs w:val="24"/>
          <w:highlight w:val="none"/>
        </w:rPr>
      </w:pPr>
      <w:r>
        <w:rPr>
          <w:rFonts w:hint="eastAsia" w:ascii="华文宋体" w:hAnsi="华文宋体" w:eastAsia="华文宋体" w:cs="华文宋体"/>
          <w:color w:val="auto"/>
          <w:spacing w:val="4"/>
          <w:sz w:val="24"/>
          <w:szCs w:val="24"/>
          <w:highlight w:val="none"/>
        </w:rPr>
        <w:t>企业名称（盖章）：</w:t>
      </w:r>
    </w:p>
    <w:p>
      <w:pPr>
        <w:adjustRightInd w:val="0"/>
        <w:snapToGrid w:val="0"/>
        <w:spacing w:line="480" w:lineRule="exact"/>
        <w:ind w:left="-3" w:firstLine="4141" w:firstLineChars="1670"/>
        <w:rPr>
          <w:rFonts w:hint="eastAsia" w:ascii="华文宋体" w:hAnsi="华文宋体" w:eastAsia="华文宋体" w:cs="华文宋体"/>
          <w:color w:val="auto"/>
          <w:sz w:val="24"/>
          <w:highlight w:val="none"/>
          <w:lang w:val="en-GB"/>
        </w:rPr>
      </w:pPr>
      <w:r>
        <w:rPr>
          <w:rFonts w:hint="eastAsia" w:ascii="华文宋体" w:hAnsi="华文宋体" w:eastAsia="华文宋体" w:cs="华文宋体"/>
          <w:color w:val="auto"/>
          <w:spacing w:val="4"/>
          <w:sz w:val="24"/>
          <w:szCs w:val="24"/>
          <w:highlight w:val="none"/>
        </w:rPr>
        <w:t>日期：</w:t>
      </w:r>
    </w:p>
    <w:p>
      <w:pPr>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kern w:val="0"/>
          <w:sz w:val="21"/>
          <w:szCs w:val="21"/>
          <w:highlight w:val="none"/>
          <w:lang w:bidi="ar"/>
        </w:rPr>
      </w:pPr>
    </w:p>
    <w:p>
      <w:pPr>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color w:val="auto"/>
          <w:kern w:val="0"/>
          <w:sz w:val="21"/>
          <w:szCs w:val="21"/>
          <w:highlight w:val="none"/>
          <w:lang w:bidi="ar"/>
        </w:rPr>
        <w:t xml:space="preserve">备注： </w:t>
      </w:r>
    </w:p>
    <w:p>
      <w:pPr>
        <w:widowControl/>
        <w:numPr>
          <w:ilvl w:val="0"/>
          <w:numId w:val="156"/>
        </w:numPr>
        <w:autoSpaceDE w:val="0"/>
        <w:autoSpaceDN w:val="0"/>
        <w:spacing w:line="340" w:lineRule="exact"/>
        <w:ind w:left="283" w:hanging="283"/>
        <w:jc w:val="left"/>
        <w:rPr>
          <w:rFonts w:hint="eastAsia" w:ascii="华文宋体" w:hAnsi="华文宋体" w:eastAsia="华文宋体" w:cs="华文宋体"/>
          <w:color w:val="auto"/>
          <w:kern w:val="0"/>
          <w:sz w:val="21"/>
          <w:szCs w:val="21"/>
          <w:highlight w:val="none"/>
          <w:lang w:bidi="ar"/>
        </w:rPr>
      </w:pPr>
      <w:r>
        <w:rPr>
          <w:rFonts w:hint="eastAsia" w:ascii="华文宋体" w:hAnsi="华文宋体" w:eastAsia="华文宋体" w:cs="华文宋体"/>
          <w:color w:val="auto"/>
          <w:kern w:val="0"/>
          <w:sz w:val="21"/>
          <w:szCs w:val="21"/>
          <w:highlight w:val="none"/>
          <w:lang w:bidi="ar"/>
        </w:rPr>
        <w:t>采购文件中明确的所属行业：详见采购文件第二章项目采购需求；</w:t>
      </w:r>
    </w:p>
    <w:p>
      <w:pPr>
        <w:widowControl/>
        <w:numPr>
          <w:ilvl w:val="0"/>
          <w:numId w:val="156"/>
        </w:numPr>
        <w:autoSpaceDE w:val="0"/>
        <w:autoSpaceDN w:val="0"/>
        <w:spacing w:line="340" w:lineRule="exact"/>
        <w:ind w:left="283" w:hanging="283"/>
        <w:jc w:val="left"/>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color w:val="auto"/>
          <w:kern w:val="0"/>
          <w:sz w:val="21"/>
          <w:szCs w:val="21"/>
          <w:highlight w:val="none"/>
          <w:lang w:bidi="ar"/>
        </w:rPr>
        <w:t xml:space="preserve">从业人员、营业收入、资产总额填报上一年度数据，无上一年度数据的新成立企业可不填报； </w:t>
      </w:r>
    </w:p>
    <w:p>
      <w:pPr>
        <w:pStyle w:val="47"/>
        <w:numPr>
          <w:ilvl w:val="0"/>
          <w:numId w:val="156"/>
        </w:numPr>
        <w:spacing w:line="340" w:lineRule="exact"/>
        <w:ind w:left="283" w:hanging="283"/>
        <w:rPr>
          <w:rFonts w:hint="eastAsia" w:ascii="华文宋体" w:hAnsi="华文宋体" w:eastAsia="华文宋体" w:cs="华文宋体"/>
          <w:color w:val="auto"/>
          <w:szCs w:val="21"/>
          <w:highlight w:val="none"/>
          <w:lang w:val="en-GB"/>
        </w:rPr>
      </w:pPr>
      <w:r>
        <w:rPr>
          <w:rFonts w:hint="eastAsia" w:ascii="华文宋体" w:hAnsi="华文宋体" w:eastAsia="华文宋体" w:cs="华文宋体"/>
          <w:color w:val="auto"/>
          <w:kern w:val="0"/>
          <w:szCs w:val="21"/>
          <w:highlight w:val="none"/>
          <w:lang w:bidi="ar"/>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pStyle w:val="47"/>
        <w:spacing w:line="240" w:lineRule="exact"/>
        <w:rPr>
          <w:rFonts w:hint="eastAsia" w:ascii="华文宋体" w:hAnsi="华文宋体" w:eastAsia="华文宋体" w:cs="华文宋体"/>
          <w:b/>
          <w:color w:val="auto"/>
          <w:sz w:val="28"/>
          <w:szCs w:val="28"/>
          <w:highlight w:val="none"/>
          <w:lang w:val="en-GB"/>
        </w:rPr>
      </w:pPr>
    </w:p>
    <w:p>
      <w:pPr>
        <w:pStyle w:val="2"/>
        <w:rPr>
          <w:rFonts w:hint="eastAsia" w:ascii="华文宋体" w:hAnsi="华文宋体" w:eastAsia="华文宋体" w:cs="华文宋体"/>
          <w:color w:val="auto"/>
          <w:highlight w:val="none"/>
          <w:lang w:val="en-GB"/>
        </w:rPr>
      </w:pPr>
      <w:r>
        <w:rPr>
          <w:rFonts w:hint="eastAsia" w:ascii="华文宋体" w:hAnsi="华文宋体" w:eastAsia="华文宋体" w:cs="华文宋体"/>
          <w:color w:val="auto"/>
          <w:highlight w:val="none"/>
          <w:lang w:val="en-GB"/>
        </w:rPr>
        <w:br w:type="page"/>
      </w:r>
    </w:p>
    <w:p>
      <w:pPr>
        <w:tabs>
          <w:tab w:val="left" w:pos="720"/>
        </w:tabs>
        <w:jc w:val="center"/>
        <w:rPr>
          <w:rFonts w:hint="eastAsia" w:ascii="华文宋体" w:hAnsi="华文宋体" w:eastAsia="华文宋体" w:cs="华文宋体"/>
          <w:b/>
          <w:color w:val="auto"/>
          <w:sz w:val="32"/>
          <w:szCs w:val="32"/>
          <w:highlight w:val="none"/>
          <w:lang w:val="en-GB"/>
        </w:rPr>
      </w:pPr>
      <w:r>
        <w:rPr>
          <w:rFonts w:hint="eastAsia" w:ascii="华文宋体" w:hAnsi="华文宋体" w:eastAsia="华文宋体" w:cs="华文宋体"/>
          <w:b/>
          <w:color w:val="auto"/>
          <w:sz w:val="32"/>
          <w:szCs w:val="32"/>
          <w:highlight w:val="none"/>
          <w:lang w:val="en-GB"/>
        </w:rPr>
        <w:t>残疾人福利性单位声明函（</w:t>
      </w:r>
      <w:r>
        <w:rPr>
          <w:rFonts w:hint="eastAsia" w:ascii="华文宋体" w:hAnsi="华文宋体" w:eastAsia="华文宋体" w:cs="华文宋体"/>
          <w:b/>
          <w:color w:val="auto"/>
          <w:sz w:val="32"/>
          <w:szCs w:val="32"/>
          <w:highlight w:val="none"/>
        </w:rPr>
        <w:t>可选</w:t>
      </w:r>
      <w:r>
        <w:rPr>
          <w:rFonts w:hint="eastAsia" w:ascii="华文宋体" w:hAnsi="华文宋体" w:eastAsia="华文宋体" w:cs="华文宋体"/>
          <w:b/>
          <w:color w:val="auto"/>
          <w:sz w:val="32"/>
          <w:szCs w:val="32"/>
          <w:highlight w:val="none"/>
          <w:lang w:val="en-GB"/>
        </w:rPr>
        <w:t>）</w:t>
      </w:r>
    </w:p>
    <w:p>
      <w:pPr>
        <w:tabs>
          <w:tab w:val="left" w:pos="720"/>
        </w:tabs>
        <w:jc w:val="center"/>
        <w:rPr>
          <w:rFonts w:hint="eastAsia" w:ascii="华文宋体" w:hAnsi="华文宋体" w:eastAsia="华文宋体" w:cs="华文宋体"/>
          <w:b/>
          <w:color w:val="auto"/>
          <w:sz w:val="28"/>
          <w:szCs w:val="28"/>
          <w:highlight w:val="none"/>
          <w:lang w:val="en-GB"/>
        </w:rPr>
      </w:pPr>
    </w:p>
    <w:p>
      <w:pPr>
        <w:spacing w:line="480" w:lineRule="auto"/>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华文宋体" w:hAnsi="华文宋体" w:eastAsia="华文宋体" w:cs="华文宋体"/>
          <w:color w:val="auto"/>
          <w:sz w:val="24"/>
          <w:highlight w:val="none"/>
          <w:u w:val="single"/>
        </w:rPr>
        <w:t xml:space="preserve">        </w:t>
      </w:r>
      <w:r>
        <w:rPr>
          <w:rFonts w:hint="eastAsia" w:ascii="华文宋体" w:hAnsi="华文宋体" w:eastAsia="华文宋体" w:cs="华文宋体"/>
          <w:color w:val="auto"/>
          <w:sz w:val="24"/>
          <w:highlight w:val="none"/>
        </w:rPr>
        <w:t>单位的</w:t>
      </w:r>
      <w:r>
        <w:rPr>
          <w:rFonts w:hint="eastAsia" w:ascii="华文宋体" w:hAnsi="华文宋体" w:eastAsia="华文宋体" w:cs="华文宋体"/>
          <w:color w:val="auto"/>
          <w:sz w:val="24"/>
          <w:highlight w:val="none"/>
          <w:u w:val="single"/>
        </w:rPr>
        <w:t xml:space="preserve">     </w:t>
      </w:r>
      <w:r>
        <w:rPr>
          <w:rFonts w:hint="eastAsia" w:ascii="华文宋体" w:hAnsi="华文宋体" w:eastAsia="华文宋体" w:cs="华文宋体"/>
          <w:color w:val="auto"/>
          <w:sz w:val="24"/>
          <w:highlight w:val="none"/>
        </w:rPr>
        <w:t>项目（项目编号:</w:t>
      </w:r>
      <w:r>
        <w:rPr>
          <w:rFonts w:hint="eastAsia" w:ascii="华文宋体" w:hAnsi="华文宋体" w:eastAsia="华文宋体" w:cs="华文宋体"/>
          <w:color w:val="auto"/>
          <w:sz w:val="24"/>
          <w:highlight w:val="none"/>
          <w:u w:val="single"/>
        </w:rPr>
        <w:t xml:space="preserve">      </w:t>
      </w:r>
      <w:r>
        <w:rPr>
          <w:rFonts w:hint="eastAsia" w:ascii="华文宋体" w:hAnsi="华文宋体" w:eastAsia="华文宋体" w:cs="华文宋体"/>
          <w:color w:val="auto"/>
          <w:sz w:val="24"/>
          <w:highlight w:val="none"/>
        </w:rPr>
        <w:t>）采购活动提供本单位制造的货物（或由本单位承担工程/提供服务），或者提供其他残疾人福利性单位制造的货物（不包括使用非残疾人福利性单位注册商标的货物）。</w:t>
      </w:r>
    </w:p>
    <w:p>
      <w:pPr>
        <w:spacing w:line="480" w:lineRule="auto"/>
        <w:ind w:firstLine="480" w:firstLineChars="200"/>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本单位对上述声明的真实性负责。如有虚假，将依法承担相应责任。</w:t>
      </w:r>
    </w:p>
    <w:p>
      <w:pPr>
        <w:spacing w:line="360" w:lineRule="auto"/>
        <w:ind w:firstLine="480" w:firstLineChars="200"/>
        <w:rPr>
          <w:rFonts w:hint="eastAsia" w:ascii="华文宋体" w:hAnsi="华文宋体" w:eastAsia="华文宋体" w:cs="华文宋体"/>
          <w:color w:val="auto"/>
          <w:sz w:val="24"/>
          <w:highlight w:val="none"/>
        </w:rPr>
      </w:pPr>
    </w:p>
    <w:p>
      <w:pPr>
        <w:adjustRightInd w:val="0"/>
        <w:snapToGrid w:val="0"/>
        <w:spacing w:line="480" w:lineRule="auto"/>
        <w:ind w:left="3712" w:leftChars="1800" w:hanging="472" w:hangingChars="197"/>
        <w:rPr>
          <w:rFonts w:hint="eastAsia" w:ascii="华文宋体" w:hAnsi="华文宋体" w:eastAsia="华文宋体" w:cs="华文宋体"/>
          <w:color w:val="auto"/>
          <w:sz w:val="24"/>
          <w:highlight w:val="none"/>
          <w:u w:val="single"/>
        </w:rPr>
      </w:pPr>
      <w:r>
        <w:rPr>
          <w:rFonts w:hint="eastAsia" w:ascii="华文宋体" w:hAnsi="华文宋体" w:eastAsia="华文宋体" w:cs="华文宋体"/>
          <w:color w:val="auto"/>
          <w:sz w:val="24"/>
          <w:highlight w:val="none"/>
        </w:rPr>
        <w:t>供应商名称（公章）：</w:t>
      </w:r>
      <w:r>
        <w:rPr>
          <w:rFonts w:hint="eastAsia" w:ascii="华文宋体" w:hAnsi="华文宋体" w:eastAsia="华文宋体" w:cs="华文宋体"/>
          <w:color w:val="auto"/>
          <w:sz w:val="24"/>
          <w:highlight w:val="none"/>
          <w:u w:val="single"/>
        </w:rPr>
        <w:t xml:space="preserve">                        </w:t>
      </w:r>
    </w:p>
    <w:p>
      <w:pPr>
        <w:adjustRightInd w:val="0"/>
        <w:snapToGrid w:val="0"/>
        <w:spacing w:line="480" w:lineRule="auto"/>
        <w:ind w:left="3712" w:leftChars="1800" w:hanging="472" w:hangingChars="197"/>
        <w:rPr>
          <w:rFonts w:hint="eastAsia" w:ascii="华文宋体" w:hAnsi="华文宋体" w:eastAsia="华文宋体" w:cs="华文宋体"/>
          <w:color w:val="auto"/>
          <w:sz w:val="24"/>
          <w:highlight w:val="none"/>
          <w:u w:val="single"/>
        </w:rPr>
      </w:pPr>
      <w:r>
        <w:rPr>
          <w:rFonts w:hint="eastAsia" w:ascii="华文宋体" w:hAnsi="华文宋体" w:eastAsia="华文宋体" w:cs="华文宋体"/>
          <w:color w:val="auto"/>
          <w:sz w:val="24"/>
          <w:highlight w:val="none"/>
        </w:rPr>
        <w:t>法定代表人或其授权代表（签名）：</w:t>
      </w:r>
      <w:r>
        <w:rPr>
          <w:rFonts w:hint="eastAsia" w:ascii="华文宋体" w:hAnsi="华文宋体" w:eastAsia="华文宋体" w:cs="华文宋体"/>
          <w:color w:val="auto"/>
          <w:sz w:val="24"/>
          <w:highlight w:val="none"/>
          <w:u w:val="single"/>
        </w:rPr>
        <w:t xml:space="preserve">            </w:t>
      </w:r>
    </w:p>
    <w:p>
      <w:pPr>
        <w:adjustRightInd w:val="0"/>
        <w:snapToGrid w:val="0"/>
        <w:spacing w:line="360" w:lineRule="auto"/>
        <w:ind w:left="3712" w:leftChars="1800" w:right="480" w:hanging="472" w:hangingChars="197"/>
        <w:rPr>
          <w:rFonts w:hint="eastAsia" w:ascii="华文宋体" w:hAnsi="华文宋体" w:eastAsia="华文宋体" w:cs="华文宋体"/>
          <w:color w:val="auto"/>
          <w:sz w:val="24"/>
          <w:highlight w:val="none"/>
        </w:rPr>
      </w:pPr>
      <w:r>
        <w:rPr>
          <w:rFonts w:hint="eastAsia" w:ascii="华文宋体" w:hAnsi="华文宋体" w:eastAsia="华文宋体" w:cs="华文宋体"/>
          <w:color w:val="auto"/>
          <w:sz w:val="24"/>
          <w:highlight w:val="none"/>
        </w:rPr>
        <w:t>日期：</w:t>
      </w:r>
      <w:r>
        <w:rPr>
          <w:rFonts w:hint="eastAsia" w:ascii="华文宋体" w:hAnsi="华文宋体" w:eastAsia="华文宋体" w:cs="华文宋体"/>
          <w:color w:val="auto"/>
          <w:sz w:val="24"/>
          <w:highlight w:val="none"/>
          <w:u w:val="single"/>
        </w:rPr>
        <w:t xml:space="preserve">      </w:t>
      </w:r>
      <w:r>
        <w:rPr>
          <w:rFonts w:hint="eastAsia" w:ascii="华文宋体" w:hAnsi="华文宋体" w:eastAsia="华文宋体" w:cs="华文宋体"/>
          <w:color w:val="auto"/>
          <w:sz w:val="24"/>
          <w:highlight w:val="none"/>
        </w:rPr>
        <w:t>年</w:t>
      </w:r>
      <w:r>
        <w:rPr>
          <w:rFonts w:hint="eastAsia" w:ascii="华文宋体" w:hAnsi="华文宋体" w:eastAsia="华文宋体" w:cs="华文宋体"/>
          <w:color w:val="auto"/>
          <w:sz w:val="24"/>
          <w:highlight w:val="none"/>
          <w:u w:val="single"/>
        </w:rPr>
        <w:t xml:space="preserve">    </w:t>
      </w:r>
      <w:r>
        <w:rPr>
          <w:rFonts w:hint="eastAsia" w:ascii="华文宋体" w:hAnsi="华文宋体" w:eastAsia="华文宋体" w:cs="华文宋体"/>
          <w:color w:val="auto"/>
          <w:sz w:val="24"/>
          <w:highlight w:val="none"/>
        </w:rPr>
        <w:t>月</w:t>
      </w:r>
      <w:r>
        <w:rPr>
          <w:rFonts w:hint="eastAsia" w:ascii="华文宋体" w:hAnsi="华文宋体" w:eastAsia="华文宋体" w:cs="华文宋体"/>
          <w:color w:val="auto"/>
          <w:sz w:val="24"/>
          <w:highlight w:val="none"/>
          <w:u w:val="single"/>
        </w:rPr>
        <w:t xml:space="preserve">    </w:t>
      </w:r>
      <w:r>
        <w:rPr>
          <w:rFonts w:hint="eastAsia" w:ascii="华文宋体" w:hAnsi="华文宋体" w:eastAsia="华文宋体" w:cs="华文宋体"/>
          <w:color w:val="auto"/>
          <w:sz w:val="24"/>
          <w:highlight w:val="none"/>
        </w:rPr>
        <w:t>日</w:t>
      </w:r>
    </w:p>
    <w:p>
      <w:pPr>
        <w:adjustRightInd w:val="0"/>
        <w:snapToGrid w:val="0"/>
        <w:spacing w:line="360" w:lineRule="auto"/>
        <w:ind w:left="3728" w:leftChars="1800" w:right="480" w:hanging="488" w:hangingChars="197"/>
        <w:rPr>
          <w:rFonts w:hint="eastAsia" w:ascii="华文宋体" w:hAnsi="华文宋体" w:eastAsia="华文宋体" w:cs="华文宋体"/>
          <w:color w:val="auto"/>
          <w:spacing w:val="4"/>
          <w:sz w:val="24"/>
          <w:highlight w:val="none"/>
        </w:rPr>
      </w:pPr>
    </w:p>
    <w:p>
      <w:pPr>
        <w:rPr>
          <w:rFonts w:hint="eastAsia" w:ascii="华文宋体" w:hAnsi="华文宋体" w:eastAsia="华文宋体" w:cs="华文宋体"/>
          <w:bCs/>
          <w:color w:val="auto"/>
          <w:szCs w:val="21"/>
          <w:highlight w:val="none"/>
        </w:rPr>
      </w:pPr>
    </w:p>
    <w:p>
      <w:pPr>
        <w:rPr>
          <w:rFonts w:hint="eastAsia" w:ascii="华文宋体" w:hAnsi="华文宋体" w:eastAsia="华文宋体" w:cs="华文宋体"/>
          <w:bCs/>
          <w:color w:val="auto"/>
          <w:szCs w:val="21"/>
          <w:highlight w:val="none"/>
        </w:rPr>
      </w:pPr>
    </w:p>
    <w:p>
      <w:pPr>
        <w:tabs>
          <w:tab w:val="left" w:pos="720"/>
        </w:tabs>
        <w:jc w:val="center"/>
        <w:rPr>
          <w:rFonts w:hint="eastAsia" w:ascii="华文宋体" w:hAnsi="华文宋体" w:eastAsia="华文宋体" w:cs="华文宋体"/>
          <w:b/>
          <w:color w:val="auto"/>
          <w:sz w:val="32"/>
          <w:szCs w:val="32"/>
          <w:highlight w:val="none"/>
          <w:lang w:val="en-GB"/>
        </w:rPr>
      </w:pPr>
      <w:r>
        <w:rPr>
          <w:rFonts w:hint="eastAsia" w:ascii="华文宋体" w:hAnsi="华文宋体" w:eastAsia="华文宋体" w:cs="华文宋体"/>
          <w:b/>
          <w:color w:val="auto"/>
          <w:sz w:val="32"/>
          <w:szCs w:val="32"/>
          <w:highlight w:val="none"/>
          <w:lang w:val="en-GB"/>
        </w:rPr>
        <w:t>监狱企业证明文件（可选）</w:t>
      </w:r>
    </w:p>
    <w:p>
      <w:pPr>
        <w:tabs>
          <w:tab w:val="left" w:pos="720"/>
        </w:tabs>
        <w:jc w:val="center"/>
        <w:rPr>
          <w:rFonts w:hint="eastAsia" w:ascii="华文宋体" w:hAnsi="华文宋体" w:eastAsia="华文宋体" w:cs="华文宋体"/>
          <w:b/>
          <w:color w:val="auto"/>
          <w:sz w:val="28"/>
          <w:szCs w:val="28"/>
          <w:highlight w:val="none"/>
          <w:lang w:val="en-GB"/>
        </w:rPr>
      </w:pPr>
    </w:p>
    <w:p>
      <w:pPr>
        <w:spacing w:line="480" w:lineRule="auto"/>
        <w:ind w:firstLine="504" w:firstLineChars="200"/>
        <w:rPr>
          <w:rFonts w:hint="eastAsia" w:ascii="华文宋体" w:hAnsi="华文宋体" w:eastAsia="华文宋体" w:cs="华文宋体"/>
          <w:color w:val="auto"/>
          <w:spacing w:val="6"/>
          <w:sz w:val="24"/>
          <w:highlight w:val="none"/>
        </w:rPr>
      </w:pPr>
      <w:r>
        <w:rPr>
          <w:rFonts w:hint="eastAsia" w:ascii="华文宋体" w:hAnsi="华文宋体" w:eastAsia="华文宋体" w:cs="华文宋体"/>
          <w:color w:val="auto"/>
          <w:spacing w:val="6"/>
          <w:sz w:val="24"/>
          <w:highlight w:val="none"/>
        </w:rPr>
        <w:t>说明：监狱企业参加政府采购活动时，应当提供由省级以上监狱管理局、戒毒管理局（含新疆生产建设兵团）出具的属于监狱企业的证明文件复印件，并加盖竞争性磋商响应单位公章。</w:t>
      </w:r>
    </w:p>
    <w:p>
      <w:pPr>
        <w:rPr>
          <w:rFonts w:hint="eastAsia" w:ascii="华文宋体" w:hAnsi="华文宋体" w:eastAsia="华文宋体" w:cs="华文宋体"/>
          <w:bCs/>
          <w:color w:val="auto"/>
          <w:szCs w:val="21"/>
          <w:highlight w:val="none"/>
        </w:rPr>
      </w:pPr>
      <w:r>
        <w:rPr>
          <w:rFonts w:hint="eastAsia" w:ascii="华文宋体" w:hAnsi="华文宋体" w:eastAsia="华文宋体" w:cs="华文宋体"/>
          <w:bCs/>
          <w:color w:val="auto"/>
          <w:szCs w:val="21"/>
          <w:highlight w:val="none"/>
        </w:rPr>
        <w:br w:type="page"/>
      </w:r>
    </w:p>
    <w:p>
      <w:pPr>
        <w:pStyle w:val="47"/>
        <w:rPr>
          <w:rFonts w:hint="eastAsia" w:ascii="华文宋体" w:hAnsi="华文宋体" w:eastAsia="华文宋体" w:cs="华文宋体"/>
          <w:bCs/>
          <w:color w:val="auto"/>
          <w:szCs w:val="21"/>
          <w:highlight w:val="none"/>
        </w:rPr>
      </w:pPr>
    </w:p>
    <w:p>
      <w:pPr>
        <w:pStyle w:val="47"/>
        <w:rPr>
          <w:rFonts w:hint="eastAsia" w:ascii="华文宋体" w:hAnsi="华文宋体" w:eastAsia="华文宋体" w:cs="华文宋体"/>
          <w:bCs/>
          <w:color w:val="auto"/>
          <w:szCs w:val="21"/>
          <w:highlight w:val="none"/>
        </w:rPr>
      </w:pPr>
    </w:p>
    <w:bookmarkEnd w:id="166"/>
    <w:p>
      <w:pPr>
        <w:pStyle w:val="6"/>
        <w:tabs>
          <w:tab w:val="left" w:pos="720"/>
          <w:tab w:val="clear" w:pos="851"/>
        </w:tabs>
        <w:jc w:val="center"/>
        <w:rPr>
          <w:rFonts w:hint="eastAsia" w:ascii="华文宋体" w:hAnsi="华文宋体" w:eastAsia="华文宋体" w:cs="华文宋体"/>
          <w:b/>
          <w:bCs/>
          <w:color w:val="auto"/>
          <w:sz w:val="40"/>
          <w:szCs w:val="40"/>
          <w:highlight w:val="none"/>
        </w:rPr>
      </w:pPr>
      <w:r>
        <w:rPr>
          <w:rFonts w:hint="eastAsia" w:ascii="华文宋体" w:hAnsi="华文宋体" w:eastAsia="华文宋体" w:cs="华文宋体"/>
          <w:b/>
          <w:bCs/>
          <w:color w:val="auto"/>
          <w:sz w:val="40"/>
          <w:szCs w:val="40"/>
          <w:highlight w:val="none"/>
        </w:rPr>
        <w:t>（六）电子文件光盘</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gridCol w:w="843"/>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935" w:type="dxa"/>
            <w:shd w:val="clear" w:color="auto" w:fill="D7D7D7"/>
            <w:noWrap w:val="0"/>
            <w:vAlign w:val="center"/>
          </w:tcPr>
          <w:p>
            <w:pPr>
              <w:autoSpaceDE w:val="0"/>
              <w:autoSpaceDN w:val="0"/>
              <w:adjustRightInd w:val="0"/>
              <w:snapToGrid w:val="0"/>
              <w:spacing w:before="180" w:beforeLines="75" w:line="360" w:lineRule="auto"/>
              <w:jc w:val="center"/>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b/>
                <w:bCs/>
                <w:color w:val="auto"/>
                <w:kern w:val="0"/>
                <w:sz w:val="24"/>
                <w:szCs w:val="24"/>
                <w:highlight w:val="none"/>
              </w:rPr>
              <w:t>电子文件光盘内容</w:t>
            </w:r>
          </w:p>
        </w:tc>
        <w:tc>
          <w:tcPr>
            <w:tcW w:w="843" w:type="dxa"/>
            <w:shd w:val="clear" w:color="auto" w:fill="D7D7D7"/>
            <w:noWrap w:val="0"/>
            <w:vAlign w:val="center"/>
          </w:tcPr>
          <w:p>
            <w:pPr>
              <w:autoSpaceDE w:val="0"/>
              <w:autoSpaceDN w:val="0"/>
              <w:adjustRightInd w:val="0"/>
              <w:snapToGrid w:val="0"/>
              <w:spacing w:before="180" w:beforeLines="75" w:line="360" w:lineRule="auto"/>
              <w:jc w:val="center"/>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b/>
                <w:bCs/>
                <w:color w:val="auto"/>
                <w:kern w:val="0"/>
                <w:sz w:val="24"/>
                <w:szCs w:val="24"/>
                <w:highlight w:val="none"/>
              </w:rPr>
              <w:t>正本</w:t>
            </w:r>
          </w:p>
        </w:tc>
        <w:tc>
          <w:tcPr>
            <w:tcW w:w="775" w:type="dxa"/>
            <w:shd w:val="clear" w:color="auto" w:fill="D7D7D7"/>
            <w:noWrap w:val="0"/>
            <w:vAlign w:val="center"/>
          </w:tcPr>
          <w:p>
            <w:pPr>
              <w:autoSpaceDE w:val="0"/>
              <w:autoSpaceDN w:val="0"/>
              <w:adjustRightInd w:val="0"/>
              <w:snapToGrid w:val="0"/>
              <w:spacing w:before="180" w:beforeLines="75" w:line="360" w:lineRule="auto"/>
              <w:jc w:val="center"/>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b/>
                <w:bCs/>
                <w:color w:val="auto"/>
                <w:kern w:val="0"/>
                <w:sz w:val="24"/>
                <w:szCs w:val="24"/>
                <w:highlight w:val="none"/>
              </w:rPr>
              <w:t>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5935" w:type="dxa"/>
            <w:noWrap w:val="0"/>
            <w:vAlign w:val="center"/>
          </w:tcPr>
          <w:p>
            <w:pPr>
              <w:numPr>
                <w:ilvl w:val="0"/>
                <w:numId w:val="157"/>
              </w:numPr>
              <w:autoSpaceDE w:val="0"/>
              <w:autoSpaceDN w:val="0"/>
              <w:adjustRightInd w:val="0"/>
              <w:snapToGrid w:val="0"/>
              <w:spacing w:before="120" w:beforeLines="50" w:after="120" w:afterLines="50"/>
              <w:ind w:left="255" w:hanging="255"/>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竞争性磋商响应文件电子版</w:t>
            </w:r>
          </w:p>
          <w:p>
            <w:pPr>
              <w:numPr>
                <w:ilvl w:val="0"/>
                <w:numId w:val="157"/>
              </w:numPr>
              <w:autoSpaceDE w:val="0"/>
              <w:autoSpaceDN w:val="0"/>
              <w:adjustRightInd w:val="0"/>
              <w:snapToGrid w:val="0"/>
              <w:spacing w:before="120" w:beforeLines="50" w:after="120" w:afterLines="50"/>
              <w:ind w:left="255" w:hanging="255"/>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磋商可能需要的其他附件、附表扫描电子文件</w:t>
            </w:r>
          </w:p>
        </w:tc>
        <w:tc>
          <w:tcPr>
            <w:tcW w:w="843" w:type="dxa"/>
            <w:noWrap w:val="0"/>
            <w:vAlign w:val="center"/>
          </w:tcPr>
          <w:p>
            <w:pPr>
              <w:autoSpaceDE w:val="0"/>
              <w:autoSpaceDN w:val="0"/>
              <w:adjustRightInd w:val="0"/>
              <w:snapToGrid w:val="0"/>
              <w:spacing w:before="120" w:beforeLines="50" w:line="360" w:lineRule="auto"/>
              <w:jc w:val="center"/>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1</w:t>
            </w:r>
          </w:p>
        </w:tc>
        <w:tc>
          <w:tcPr>
            <w:tcW w:w="775" w:type="dxa"/>
            <w:noWrap w:val="0"/>
            <w:vAlign w:val="center"/>
          </w:tcPr>
          <w:p>
            <w:pPr>
              <w:autoSpaceDE w:val="0"/>
              <w:autoSpaceDN w:val="0"/>
              <w:adjustRightInd w:val="0"/>
              <w:snapToGrid w:val="0"/>
              <w:spacing w:before="120" w:beforeLines="50" w:line="360" w:lineRule="auto"/>
              <w:jc w:val="center"/>
              <w:rPr>
                <w:rFonts w:hint="eastAsia" w:ascii="华文宋体" w:hAnsi="华文宋体" w:eastAsia="华文宋体" w:cs="华文宋体"/>
                <w:color w:val="auto"/>
                <w:kern w:val="0"/>
                <w:sz w:val="24"/>
                <w:szCs w:val="24"/>
                <w:highlight w:val="none"/>
              </w:rPr>
            </w:pPr>
          </w:p>
        </w:tc>
      </w:tr>
    </w:tbl>
    <w:p>
      <w:pPr>
        <w:spacing w:before="120" w:beforeLines="50" w:line="360" w:lineRule="auto"/>
        <w:ind w:firstLine="1058" w:firstLineChars="481"/>
        <w:rPr>
          <w:rFonts w:hint="eastAsia" w:ascii="华文宋体" w:hAnsi="华文宋体" w:eastAsia="华文宋体" w:cs="华文宋体"/>
          <w:bCs/>
          <w:color w:val="auto"/>
          <w:sz w:val="22"/>
          <w:highlight w:val="none"/>
        </w:rPr>
      </w:pPr>
      <w:bookmarkStart w:id="185" w:name="_Toc1668_WPSOffice_Level1"/>
      <w:bookmarkStart w:id="186" w:name="_Toc24610"/>
      <w:bookmarkStart w:id="187" w:name="_Toc27324"/>
      <w:bookmarkStart w:id="188" w:name="_Toc20448"/>
      <w:bookmarkStart w:id="189" w:name="_Toc17359_WPSOffice_Level1"/>
      <w:bookmarkStart w:id="190" w:name="_Toc24844"/>
      <w:bookmarkStart w:id="191" w:name="_Toc9430"/>
      <w:bookmarkStart w:id="192" w:name="_Toc4968_WPSOffice_Level1"/>
      <w:bookmarkStart w:id="193" w:name="_Toc4222_WPSOffice_Level1"/>
      <w:bookmarkStart w:id="194" w:name="_Toc31055"/>
      <w:bookmarkStart w:id="195" w:name="_Toc26007"/>
      <w:bookmarkStart w:id="196" w:name="_Toc25730"/>
      <w:bookmarkStart w:id="197" w:name="_Toc8490"/>
      <w:bookmarkStart w:id="198" w:name="_Toc5247"/>
      <w:bookmarkStart w:id="199" w:name="_Toc2210_WPSOffice_Level1"/>
      <w:r>
        <w:rPr>
          <w:rFonts w:hint="eastAsia" w:ascii="华文宋体" w:hAnsi="华文宋体" w:eastAsia="华文宋体" w:cs="华文宋体"/>
          <w:bCs/>
          <w:color w:val="auto"/>
          <w:sz w:val="22"/>
          <w:highlight w:val="none"/>
        </w:rPr>
        <w:t>备注：</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numPr>
          <w:ilvl w:val="0"/>
          <w:numId w:val="158"/>
        </w:numPr>
        <w:spacing w:line="360" w:lineRule="auto"/>
        <w:ind w:left="1332" w:hanging="255"/>
        <w:rPr>
          <w:rFonts w:hint="eastAsia" w:ascii="华文宋体" w:hAnsi="华文宋体" w:eastAsia="华文宋体" w:cs="华文宋体"/>
          <w:bCs/>
          <w:color w:val="auto"/>
          <w:sz w:val="22"/>
          <w:highlight w:val="none"/>
        </w:rPr>
      </w:pPr>
      <w:r>
        <w:rPr>
          <w:rFonts w:hint="eastAsia" w:ascii="华文宋体" w:hAnsi="华文宋体" w:eastAsia="华文宋体" w:cs="华文宋体"/>
          <w:bCs/>
          <w:color w:val="auto"/>
          <w:sz w:val="22"/>
          <w:highlight w:val="none"/>
        </w:rPr>
        <w:t>用油性笔书写或用标签注明</w:t>
      </w:r>
      <w:r>
        <w:rPr>
          <w:rFonts w:hint="eastAsia" w:ascii="华文宋体" w:hAnsi="华文宋体" w:eastAsia="华文宋体" w:cs="华文宋体"/>
          <w:bCs/>
          <w:color w:val="auto"/>
          <w:sz w:val="22"/>
          <w:highlight w:val="none"/>
          <w:u w:val="single"/>
        </w:rPr>
        <w:t>项目名称</w:t>
      </w:r>
      <w:r>
        <w:rPr>
          <w:rFonts w:hint="eastAsia" w:ascii="华文宋体" w:hAnsi="华文宋体" w:eastAsia="华文宋体" w:cs="华文宋体"/>
          <w:bCs/>
          <w:color w:val="auto"/>
          <w:sz w:val="22"/>
          <w:highlight w:val="none"/>
        </w:rPr>
        <w:t>、</w:t>
      </w:r>
      <w:r>
        <w:rPr>
          <w:rFonts w:hint="eastAsia" w:ascii="华文宋体" w:hAnsi="华文宋体" w:eastAsia="华文宋体" w:cs="华文宋体"/>
          <w:bCs/>
          <w:color w:val="auto"/>
          <w:sz w:val="22"/>
          <w:highlight w:val="none"/>
          <w:u w:val="single"/>
        </w:rPr>
        <w:t>项目编号</w:t>
      </w:r>
      <w:r>
        <w:rPr>
          <w:rFonts w:hint="eastAsia" w:ascii="华文宋体" w:hAnsi="华文宋体" w:eastAsia="华文宋体" w:cs="华文宋体"/>
          <w:bCs/>
          <w:color w:val="auto"/>
          <w:sz w:val="22"/>
          <w:highlight w:val="none"/>
        </w:rPr>
        <w:t>、</w:t>
      </w:r>
      <w:r>
        <w:rPr>
          <w:rFonts w:hint="eastAsia" w:ascii="华文宋体" w:hAnsi="华文宋体" w:eastAsia="华文宋体" w:cs="华文宋体"/>
          <w:bCs/>
          <w:color w:val="auto"/>
          <w:sz w:val="22"/>
          <w:highlight w:val="none"/>
          <w:u w:val="single"/>
        </w:rPr>
        <w:t>供应商</w:t>
      </w:r>
      <w:r>
        <w:rPr>
          <w:rFonts w:hint="eastAsia" w:ascii="华文宋体" w:hAnsi="华文宋体" w:eastAsia="华文宋体" w:cs="华文宋体"/>
          <w:bCs/>
          <w:color w:val="auto"/>
          <w:sz w:val="22"/>
          <w:highlight w:val="none"/>
        </w:rPr>
        <w:t>；</w:t>
      </w:r>
    </w:p>
    <w:p>
      <w:pPr>
        <w:numPr>
          <w:ilvl w:val="0"/>
          <w:numId w:val="158"/>
        </w:numPr>
        <w:spacing w:line="360" w:lineRule="auto"/>
        <w:ind w:left="1332" w:hanging="255"/>
        <w:rPr>
          <w:rFonts w:hint="eastAsia" w:ascii="华文宋体" w:hAnsi="华文宋体" w:eastAsia="华文宋体" w:cs="华文宋体"/>
          <w:bCs/>
          <w:color w:val="auto"/>
          <w:sz w:val="22"/>
          <w:highlight w:val="none"/>
        </w:rPr>
      </w:pPr>
      <w:r>
        <w:rPr>
          <w:rFonts w:hint="eastAsia" w:ascii="华文宋体" w:hAnsi="华文宋体" w:eastAsia="华文宋体" w:cs="华文宋体"/>
          <w:bCs/>
          <w:color w:val="auto"/>
          <w:sz w:val="22"/>
          <w:highlight w:val="none"/>
        </w:rPr>
        <w:t>WORD或PDF格式，不留密码，无病毒，不压缩；</w:t>
      </w:r>
    </w:p>
    <w:p>
      <w:pPr>
        <w:numPr>
          <w:ilvl w:val="0"/>
          <w:numId w:val="158"/>
        </w:numPr>
        <w:spacing w:line="360" w:lineRule="auto"/>
        <w:ind w:left="1332" w:hanging="255"/>
        <w:rPr>
          <w:rFonts w:hint="eastAsia" w:ascii="华文宋体" w:hAnsi="华文宋体" w:eastAsia="华文宋体" w:cs="华文宋体"/>
          <w:bCs/>
          <w:color w:val="auto"/>
          <w:sz w:val="22"/>
          <w:highlight w:val="none"/>
        </w:rPr>
      </w:pPr>
      <w:r>
        <w:rPr>
          <w:rFonts w:hint="eastAsia" w:ascii="华文宋体" w:hAnsi="华文宋体" w:eastAsia="华文宋体" w:cs="华文宋体"/>
          <w:bCs/>
          <w:color w:val="auto"/>
          <w:sz w:val="22"/>
          <w:highlight w:val="none"/>
        </w:rPr>
        <w:t>应与报价文件一起封装在报价信封中。</w:t>
      </w:r>
    </w:p>
    <w:p>
      <w:pPr>
        <w:pStyle w:val="47"/>
        <w:rPr>
          <w:rFonts w:hint="eastAsia" w:ascii="华文宋体" w:hAnsi="华文宋体" w:eastAsia="华文宋体" w:cs="华文宋体"/>
          <w:bCs/>
          <w:color w:val="auto"/>
          <w:szCs w:val="21"/>
          <w:highlight w:val="none"/>
        </w:rPr>
      </w:pPr>
    </w:p>
    <w:p>
      <w:pPr>
        <w:pStyle w:val="47"/>
        <w:rPr>
          <w:rFonts w:hint="eastAsia" w:ascii="华文宋体" w:hAnsi="华文宋体" w:eastAsia="华文宋体" w:cs="华文宋体"/>
          <w:bCs/>
          <w:color w:val="auto"/>
          <w:szCs w:val="21"/>
          <w:highlight w:val="none"/>
        </w:rPr>
      </w:pPr>
    </w:p>
    <w:p>
      <w:pPr>
        <w:pStyle w:val="47"/>
        <w:rPr>
          <w:rFonts w:hint="eastAsia" w:ascii="华文宋体" w:hAnsi="华文宋体" w:eastAsia="华文宋体" w:cs="华文宋体"/>
          <w:bCs/>
          <w:color w:val="auto"/>
          <w:szCs w:val="21"/>
          <w:highlight w:val="none"/>
        </w:rPr>
      </w:pPr>
    </w:p>
    <w:p>
      <w:pPr>
        <w:pStyle w:val="47"/>
        <w:rPr>
          <w:rFonts w:hint="eastAsia" w:ascii="华文宋体" w:hAnsi="华文宋体" w:eastAsia="华文宋体" w:cs="华文宋体"/>
          <w:bCs/>
          <w:color w:val="auto"/>
          <w:szCs w:val="21"/>
          <w:highlight w:val="none"/>
        </w:rPr>
      </w:pPr>
    </w:p>
    <w:p>
      <w:pPr>
        <w:pStyle w:val="47"/>
        <w:rPr>
          <w:rFonts w:hint="eastAsia" w:ascii="华文宋体" w:hAnsi="华文宋体" w:eastAsia="华文宋体" w:cs="华文宋体"/>
          <w:bCs/>
          <w:color w:val="auto"/>
          <w:szCs w:val="21"/>
          <w:highlight w:val="none"/>
        </w:rPr>
      </w:pPr>
    </w:p>
    <w:p>
      <w:pPr>
        <w:pStyle w:val="47"/>
        <w:rPr>
          <w:rFonts w:hint="eastAsia" w:ascii="华文宋体" w:hAnsi="华文宋体" w:eastAsia="华文宋体" w:cs="华文宋体"/>
          <w:bCs/>
          <w:color w:val="auto"/>
          <w:szCs w:val="21"/>
          <w:highlight w:val="none"/>
        </w:rPr>
      </w:pPr>
    </w:p>
    <w:p>
      <w:pPr>
        <w:pStyle w:val="6"/>
        <w:tabs>
          <w:tab w:val="left" w:pos="720"/>
          <w:tab w:val="clear" w:pos="851"/>
        </w:tabs>
        <w:spacing w:line="240" w:lineRule="auto"/>
        <w:jc w:val="center"/>
        <w:rPr>
          <w:rFonts w:hint="eastAsia" w:ascii="华文宋体" w:hAnsi="华文宋体" w:eastAsia="华文宋体" w:cs="华文宋体"/>
          <w:b/>
          <w:bCs/>
          <w:color w:val="auto"/>
          <w:sz w:val="40"/>
          <w:szCs w:val="40"/>
          <w:highlight w:val="none"/>
        </w:rPr>
      </w:pPr>
      <w:r>
        <w:rPr>
          <w:rFonts w:hint="eastAsia" w:ascii="华文宋体" w:hAnsi="华文宋体" w:eastAsia="华文宋体" w:cs="华文宋体"/>
          <w:b/>
          <w:bCs/>
          <w:color w:val="auto"/>
          <w:sz w:val="40"/>
          <w:szCs w:val="40"/>
          <w:highlight w:val="none"/>
        </w:rPr>
        <w:t>（七）报价信封</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华文宋体" w:hAnsi="华文宋体" w:eastAsia="华文宋体" w:cs="华文宋体"/>
          <w:bCs/>
          <w:color w:val="auto"/>
          <w:sz w:val="32"/>
          <w:szCs w:val="32"/>
          <w:highlight w:val="none"/>
        </w:rPr>
      </w:pPr>
      <w:r>
        <w:rPr>
          <w:rFonts w:hint="eastAsia" w:ascii="华文宋体" w:hAnsi="华文宋体" w:eastAsia="华文宋体" w:cs="华文宋体"/>
          <w:bCs/>
          <w:color w:val="auto"/>
          <w:sz w:val="32"/>
          <w:szCs w:val="32"/>
          <w:highlight w:val="none"/>
        </w:rPr>
        <w:t>报价信封文件自查表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
        <w:gridCol w:w="4410"/>
        <w:gridCol w:w="1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5" w:type="dxa"/>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宋体" w:hAnsi="华文宋体" w:eastAsia="华文宋体" w:cs="华文宋体"/>
                <w:b/>
                <w:bCs/>
                <w:color w:val="auto"/>
                <w:sz w:val="24"/>
                <w:szCs w:val="24"/>
                <w:highlight w:val="none"/>
              </w:rPr>
            </w:pPr>
            <w:bookmarkStart w:id="200" w:name="_Hlk7198326"/>
            <w:r>
              <w:rPr>
                <w:rFonts w:hint="eastAsia" w:ascii="华文宋体" w:hAnsi="华文宋体" w:eastAsia="华文宋体" w:cs="华文宋体"/>
                <w:b/>
                <w:bCs/>
                <w:color w:val="auto"/>
                <w:sz w:val="24"/>
                <w:szCs w:val="24"/>
                <w:highlight w:val="none"/>
              </w:rPr>
              <w:t>序号</w:t>
            </w:r>
          </w:p>
        </w:tc>
        <w:tc>
          <w:tcPr>
            <w:tcW w:w="4410" w:type="dxa"/>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t>内容</w:t>
            </w:r>
          </w:p>
        </w:tc>
        <w:tc>
          <w:tcPr>
            <w:tcW w:w="1128" w:type="dxa"/>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宋体" w:hAnsi="华文宋体" w:eastAsia="华文宋体" w:cs="华文宋体"/>
                <w:b/>
                <w:bCs/>
                <w:color w:val="auto"/>
                <w:sz w:val="24"/>
                <w:szCs w:val="24"/>
                <w:highlight w:val="none"/>
              </w:rPr>
            </w:pPr>
            <w:r>
              <w:rPr>
                <w:rFonts w:hint="eastAsia" w:ascii="华文宋体" w:hAnsi="华文宋体" w:eastAsia="华文宋体" w:cs="华文宋体"/>
                <w:b/>
                <w:bCs/>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1</w:t>
            </w:r>
          </w:p>
        </w:tc>
        <w:tc>
          <w:tcPr>
            <w:tcW w:w="4410" w:type="dxa"/>
            <w:noWrap w:val="0"/>
            <w:vAlign w:val="center"/>
          </w:tcPr>
          <w:p>
            <w:pPr>
              <w:keepNext w:val="0"/>
              <w:keepLines w:val="0"/>
              <w:pageBreakBefore w:val="0"/>
              <w:widowControl w:val="0"/>
              <w:kinsoku/>
              <w:wordWrap/>
              <w:overflowPunct/>
              <w:topLinePunct w:val="0"/>
              <w:autoSpaceDE/>
              <w:autoSpaceDN/>
              <w:bidi w:val="0"/>
              <w:adjustRightInd/>
              <w:snapToGrid/>
              <w:ind w:right="32"/>
              <w:textAlignment w:val="auto"/>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color w:val="auto"/>
                <w:kern w:val="0"/>
                <w:sz w:val="24"/>
                <w:szCs w:val="24"/>
                <w:highlight w:val="none"/>
              </w:rPr>
              <w:t>初次报价表</w:t>
            </w:r>
          </w:p>
        </w:tc>
        <w:tc>
          <w:tcPr>
            <w:tcW w:w="1128"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宋体" w:hAnsi="华文宋体" w:eastAsia="华文宋体" w:cs="华文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2</w:t>
            </w:r>
          </w:p>
        </w:tc>
        <w:tc>
          <w:tcPr>
            <w:tcW w:w="4410" w:type="dxa"/>
            <w:noWrap w:val="0"/>
            <w:vAlign w:val="center"/>
          </w:tcPr>
          <w:p>
            <w:pPr>
              <w:keepNext w:val="0"/>
              <w:keepLines w:val="0"/>
              <w:pageBreakBefore w:val="0"/>
              <w:widowControl w:val="0"/>
              <w:kinsoku/>
              <w:wordWrap/>
              <w:overflowPunct/>
              <w:topLinePunct w:val="0"/>
              <w:autoSpaceDE/>
              <w:autoSpaceDN/>
              <w:bidi w:val="0"/>
              <w:adjustRightInd/>
              <w:snapToGrid/>
              <w:ind w:right="32"/>
              <w:textAlignment w:val="auto"/>
              <w:rPr>
                <w:rFonts w:hint="eastAsia" w:ascii="华文宋体" w:hAnsi="华文宋体" w:eastAsia="华文宋体" w:cs="华文宋体"/>
                <w:color w:val="auto"/>
                <w:kern w:val="0"/>
                <w:sz w:val="24"/>
                <w:szCs w:val="24"/>
                <w:highlight w:val="none"/>
              </w:rPr>
            </w:pPr>
            <w:r>
              <w:rPr>
                <w:rFonts w:hint="eastAsia" w:ascii="华文宋体" w:hAnsi="华文宋体" w:eastAsia="华文宋体" w:cs="华文宋体"/>
                <w:color w:val="auto"/>
                <w:kern w:val="0"/>
                <w:sz w:val="24"/>
                <w:szCs w:val="24"/>
                <w:highlight w:val="none"/>
              </w:rPr>
              <w:t>电子文件1份（</w:t>
            </w:r>
            <w:r>
              <w:rPr>
                <w:rFonts w:hint="eastAsia" w:ascii="华文宋体" w:hAnsi="华文宋体" w:eastAsia="华文宋体" w:cs="华文宋体"/>
                <w:color w:val="auto"/>
                <w:kern w:val="0"/>
                <w:sz w:val="24"/>
                <w:szCs w:val="24"/>
                <w:highlight w:val="none"/>
              </w:rPr>
              <w:sym w:font="Wingdings 2" w:char="0052"/>
            </w:r>
            <w:r>
              <w:rPr>
                <w:rFonts w:hint="eastAsia" w:ascii="华文宋体" w:hAnsi="华文宋体" w:eastAsia="华文宋体" w:cs="华文宋体"/>
                <w:color w:val="auto"/>
                <w:kern w:val="0"/>
                <w:sz w:val="24"/>
                <w:szCs w:val="24"/>
                <w:highlight w:val="none"/>
              </w:rPr>
              <w:t xml:space="preserve">PDF, </w:t>
            </w:r>
            <w:r>
              <w:rPr>
                <w:rFonts w:hint="eastAsia" w:ascii="华文宋体" w:hAnsi="华文宋体" w:eastAsia="华文宋体" w:cs="华文宋体"/>
                <w:color w:val="auto"/>
                <w:kern w:val="0"/>
                <w:sz w:val="24"/>
                <w:szCs w:val="24"/>
                <w:highlight w:val="none"/>
              </w:rPr>
              <w:sym w:font="Wingdings 2" w:char="0052"/>
            </w:r>
            <w:r>
              <w:rPr>
                <w:rFonts w:hint="eastAsia" w:ascii="华文宋体" w:hAnsi="华文宋体" w:eastAsia="华文宋体" w:cs="华文宋体"/>
                <w:color w:val="auto"/>
                <w:kern w:val="0"/>
                <w:sz w:val="24"/>
                <w:szCs w:val="24"/>
                <w:highlight w:val="none"/>
              </w:rPr>
              <w:t>Word,可任选，可选用扫描件形式）</w:t>
            </w:r>
          </w:p>
        </w:tc>
        <w:tc>
          <w:tcPr>
            <w:tcW w:w="1128"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宋体" w:hAnsi="华文宋体" w:eastAsia="华文宋体" w:cs="华文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3</w:t>
            </w:r>
          </w:p>
        </w:tc>
        <w:tc>
          <w:tcPr>
            <w:tcW w:w="4410" w:type="dxa"/>
            <w:noWrap w:val="0"/>
            <w:vAlign w:val="center"/>
          </w:tcPr>
          <w:p>
            <w:pPr>
              <w:keepNext w:val="0"/>
              <w:keepLines w:val="0"/>
              <w:pageBreakBefore w:val="0"/>
              <w:widowControl w:val="0"/>
              <w:kinsoku/>
              <w:wordWrap/>
              <w:overflowPunct/>
              <w:topLinePunct w:val="0"/>
              <w:autoSpaceDE/>
              <w:autoSpaceDN/>
              <w:bidi w:val="0"/>
              <w:adjustRightInd/>
              <w:snapToGrid/>
              <w:ind w:right="32"/>
              <w:textAlignment w:val="auto"/>
              <w:rPr>
                <w:rFonts w:hint="default" w:ascii="华文宋体" w:hAnsi="华文宋体" w:eastAsia="华文宋体" w:cs="华文宋体"/>
                <w:color w:val="auto"/>
                <w:kern w:val="0"/>
                <w:sz w:val="24"/>
                <w:szCs w:val="24"/>
                <w:highlight w:val="none"/>
                <w:lang w:val="en-US" w:eastAsia="zh-CN"/>
              </w:rPr>
            </w:pPr>
            <w:r>
              <w:rPr>
                <w:rFonts w:hint="eastAsia" w:ascii="华文宋体" w:hAnsi="华文宋体" w:cs="华文宋体"/>
                <w:color w:val="auto"/>
                <w:kern w:val="0"/>
                <w:sz w:val="24"/>
                <w:szCs w:val="24"/>
                <w:highlight w:val="none"/>
                <w:lang w:val="en-US" w:eastAsia="zh-CN"/>
              </w:rPr>
              <w:t>中小企业声明函</w:t>
            </w:r>
          </w:p>
        </w:tc>
        <w:tc>
          <w:tcPr>
            <w:tcW w:w="112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宋体" w:hAnsi="华文宋体" w:eastAsia="华文宋体" w:cs="华文宋体"/>
                <w:bCs/>
                <w:color w:val="auto"/>
                <w:sz w:val="24"/>
                <w:szCs w:val="24"/>
                <w:highlight w:val="none"/>
              </w:rPr>
            </w:pPr>
            <w:r>
              <w:rPr>
                <w:rFonts w:hint="eastAsia" w:ascii="华文宋体" w:hAnsi="华文宋体" w:eastAsia="华文宋体" w:cs="华文宋体"/>
                <w:bCs/>
                <w:color w:val="auto"/>
                <w:sz w:val="24"/>
                <w:szCs w:val="24"/>
                <w:highlight w:val="none"/>
              </w:rPr>
              <w:t>如有</w:t>
            </w:r>
          </w:p>
        </w:tc>
      </w:tr>
      <w:bookmarkEnd w:id="200"/>
    </w:tbl>
    <w:p>
      <w:pPr>
        <w:rPr>
          <w:rFonts w:hint="eastAsia" w:ascii="华文宋体" w:hAnsi="华文宋体" w:eastAsia="华文宋体" w:cs="华文宋体"/>
          <w:color w:val="auto"/>
          <w:spacing w:val="4"/>
          <w:sz w:val="24"/>
          <w:highlight w:val="none"/>
        </w:rPr>
      </w:pPr>
    </w:p>
    <w:p>
      <w:pPr>
        <w:pStyle w:val="16"/>
        <w:tabs>
          <w:tab w:val="left" w:pos="1260"/>
        </w:tabs>
        <w:jc w:val="center"/>
        <w:rPr>
          <w:rFonts w:hint="eastAsia" w:ascii="华文宋体" w:hAnsi="华文宋体" w:eastAsia="华文宋体" w:cs="华文宋体"/>
          <w:bCs/>
          <w:color w:val="auto"/>
          <w:highlight w:val="none"/>
        </w:rPr>
      </w:pPr>
    </w:p>
    <w:p>
      <w:pPr>
        <w:pStyle w:val="16"/>
        <w:tabs>
          <w:tab w:val="left" w:pos="1260"/>
        </w:tabs>
        <w:jc w:val="center"/>
        <w:rPr>
          <w:rFonts w:hint="eastAsia" w:ascii="华文宋体" w:hAnsi="华文宋体" w:eastAsia="华文宋体" w:cs="华文宋体"/>
          <w:bCs/>
          <w:color w:val="auto"/>
          <w:highlight w:val="none"/>
        </w:rPr>
      </w:pPr>
    </w:p>
    <w:p>
      <w:pPr>
        <w:pStyle w:val="16"/>
        <w:tabs>
          <w:tab w:val="left" w:pos="1260"/>
        </w:tabs>
        <w:jc w:val="center"/>
        <w:rPr>
          <w:rFonts w:hint="eastAsia" w:ascii="华文宋体" w:hAnsi="华文宋体" w:eastAsia="华文宋体" w:cs="华文宋体"/>
          <w:bCs/>
          <w:color w:val="auto"/>
          <w:highlight w:val="none"/>
        </w:rPr>
      </w:pPr>
    </w:p>
    <w:p>
      <w:pPr>
        <w:rPr>
          <w:rFonts w:hint="eastAsia" w:ascii="华文宋体" w:hAnsi="华文宋体" w:eastAsia="华文宋体" w:cs="华文宋体"/>
          <w:color w:val="auto"/>
          <w:highlight w:val="none"/>
        </w:rPr>
      </w:pPr>
      <w:bookmarkStart w:id="201" w:name="_Hlk7198161"/>
    </w:p>
    <w:p>
      <w:pPr>
        <w:rPr>
          <w:rFonts w:hint="eastAsia" w:ascii="华文宋体" w:hAnsi="华文宋体" w:eastAsia="华文宋体" w:cs="华文宋体"/>
          <w:color w:val="auto"/>
          <w:highlight w:val="none"/>
        </w:rPr>
      </w:pPr>
    </w:p>
    <w:p>
      <w:pPr>
        <w:pStyle w:val="16"/>
        <w:tabs>
          <w:tab w:val="left" w:pos="1260"/>
        </w:tabs>
        <w:jc w:val="center"/>
        <w:rPr>
          <w:rFonts w:hint="eastAsia" w:ascii="华文宋体" w:hAnsi="华文宋体" w:eastAsia="华文宋体" w:cs="华文宋体"/>
          <w:b/>
          <w:color w:val="auto"/>
          <w:spacing w:val="100"/>
          <w:sz w:val="48"/>
          <w:szCs w:val="48"/>
          <w:highlight w:val="none"/>
        </w:rPr>
      </w:pPr>
      <w:r>
        <w:rPr>
          <w:rFonts w:hint="eastAsia" w:ascii="华文宋体" w:hAnsi="华文宋体" w:eastAsia="华文宋体" w:cs="华文宋体"/>
          <w:b/>
          <w:color w:val="auto"/>
          <w:spacing w:val="100"/>
          <w:sz w:val="72"/>
          <w:szCs w:val="72"/>
          <w:highlight w:val="none"/>
        </w:rPr>
        <w:t>报价信封</w:t>
      </w:r>
    </w:p>
    <w:p>
      <w:pPr>
        <w:pStyle w:val="16"/>
        <w:jc w:val="center"/>
        <w:rPr>
          <w:rFonts w:hint="eastAsia" w:ascii="华文宋体" w:hAnsi="华文宋体" w:eastAsia="华文宋体" w:cs="华文宋体"/>
          <w:b/>
          <w:color w:val="auto"/>
          <w:sz w:val="28"/>
          <w:szCs w:val="28"/>
          <w:highlight w:val="none"/>
        </w:rPr>
      </w:pPr>
    </w:p>
    <w:p>
      <w:pPr>
        <w:pStyle w:val="16"/>
        <w:spacing w:line="360" w:lineRule="auto"/>
        <w:ind w:firstLine="964" w:firstLineChars="344"/>
        <w:rPr>
          <w:rFonts w:hint="eastAsia" w:ascii="华文宋体" w:hAnsi="华文宋体" w:eastAsia="华文宋体" w:cs="华文宋体"/>
          <w:b/>
          <w:color w:val="auto"/>
          <w:sz w:val="28"/>
          <w:szCs w:val="28"/>
          <w:highlight w:val="none"/>
        </w:rPr>
      </w:pPr>
    </w:p>
    <w:p>
      <w:pPr>
        <w:pStyle w:val="16"/>
        <w:spacing w:line="360" w:lineRule="auto"/>
        <w:ind w:firstLine="964" w:firstLineChars="344"/>
        <w:rPr>
          <w:rFonts w:hint="eastAsia" w:ascii="华文宋体" w:hAnsi="华文宋体" w:eastAsia="华文宋体" w:cs="华文宋体"/>
          <w:b/>
          <w:color w:val="auto"/>
          <w:sz w:val="28"/>
          <w:szCs w:val="28"/>
          <w:highlight w:val="none"/>
        </w:rPr>
      </w:pPr>
    </w:p>
    <w:p>
      <w:pPr>
        <w:pStyle w:val="13"/>
        <w:spacing w:afterLines="50" w:line="480" w:lineRule="auto"/>
        <w:ind w:left="0" w:leftChars="0" w:firstLine="1620" w:firstLineChars="578"/>
        <w:rPr>
          <w:rFonts w:hint="eastAsia" w:ascii="华文宋体" w:hAnsi="华文宋体" w:eastAsia="华文宋体" w:cs="华文宋体"/>
          <w:b/>
          <w:color w:val="auto"/>
          <w:sz w:val="28"/>
          <w:szCs w:val="28"/>
          <w:highlight w:val="none"/>
          <w:u w:val="single"/>
        </w:rPr>
      </w:pPr>
      <w:r>
        <w:rPr>
          <w:rFonts w:hint="eastAsia" w:ascii="华文宋体" w:hAnsi="华文宋体" w:eastAsia="华文宋体" w:cs="华文宋体"/>
          <w:b/>
          <w:color w:val="auto"/>
          <w:sz w:val="28"/>
          <w:szCs w:val="28"/>
          <w:highlight w:val="none"/>
        </w:rPr>
        <w:t>项目名称：</w:t>
      </w:r>
      <w:r>
        <w:rPr>
          <w:rFonts w:hint="eastAsia" w:ascii="华文宋体" w:hAnsi="华文宋体" w:eastAsia="华文宋体" w:cs="华文宋体"/>
          <w:b/>
          <w:color w:val="auto"/>
          <w:sz w:val="28"/>
          <w:szCs w:val="28"/>
          <w:highlight w:val="none"/>
          <w:u w:val="single"/>
        </w:rPr>
        <w:t xml:space="preserve">                              </w:t>
      </w:r>
    </w:p>
    <w:p>
      <w:pPr>
        <w:pStyle w:val="16"/>
        <w:spacing w:after="120" w:afterLines="50" w:line="480" w:lineRule="auto"/>
        <w:ind w:firstLine="1620" w:firstLineChars="578"/>
        <w:rPr>
          <w:rFonts w:hint="eastAsia" w:ascii="华文宋体" w:hAnsi="华文宋体" w:eastAsia="华文宋体" w:cs="华文宋体"/>
          <w:b/>
          <w:color w:val="auto"/>
          <w:sz w:val="28"/>
          <w:szCs w:val="28"/>
          <w:highlight w:val="none"/>
          <w:u w:val="single"/>
        </w:rPr>
      </w:pPr>
      <w:r>
        <w:rPr>
          <w:rFonts w:hint="eastAsia" w:ascii="华文宋体" w:hAnsi="华文宋体" w:eastAsia="华文宋体" w:cs="华文宋体"/>
          <w:b/>
          <w:color w:val="auto"/>
          <w:sz w:val="28"/>
          <w:szCs w:val="28"/>
          <w:highlight w:val="none"/>
        </w:rPr>
        <w:t>项目编号：</w:t>
      </w:r>
      <w:r>
        <w:rPr>
          <w:rFonts w:hint="eastAsia" w:ascii="华文宋体" w:hAnsi="华文宋体" w:eastAsia="华文宋体" w:cs="华文宋体"/>
          <w:bCs/>
          <w:color w:val="auto"/>
          <w:sz w:val="28"/>
          <w:szCs w:val="28"/>
          <w:highlight w:val="none"/>
          <w:u w:val="single"/>
        </w:rPr>
        <w:t xml:space="preserve">                              </w:t>
      </w:r>
    </w:p>
    <w:p>
      <w:pPr>
        <w:pStyle w:val="16"/>
        <w:spacing w:after="120" w:afterLines="50" w:line="480" w:lineRule="auto"/>
        <w:ind w:firstLine="1620" w:firstLineChars="578"/>
        <w:rPr>
          <w:rFonts w:hint="eastAsia" w:ascii="华文宋体" w:hAnsi="华文宋体" w:eastAsia="华文宋体" w:cs="华文宋体"/>
          <w:b/>
          <w:color w:val="auto"/>
          <w:sz w:val="28"/>
          <w:szCs w:val="28"/>
          <w:highlight w:val="none"/>
        </w:rPr>
      </w:pPr>
      <w:r>
        <w:rPr>
          <w:rFonts w:hint="eastAsia" w:ascii="华文宋体" w:hAnsi="华文宋体" w:eastAsia="华文宋体" w:cs="华文宋体"/>
          <w:b/>
          <w:color w:val="auto"/>
          <w:sz w:val="28"/>
          <w:szCs w:val="28"/>
          <w:highlight w:val="none"/>
        </w:rPr>
        <w:t>供应商名称：</w:t>
      </w:r>
      <w:r>
        <w:rPr>
          <w:rFonts w:hint="eastAsia" w:ascii="华文宋体" w:hAnsi="华文宋体" w:eastAsia="华文宋体" w:cs="华文宋体"/>
          <w:b/>
          <w:color w:val="auto"/>
          <w:sz w:val="28"/>
          <w:szCs w:val="28"/>
          <w:highlight w:val="none"/>
          <w:u w:val="single"/>
        </w:rPr>
        <w:t xml:space="preserve">                     </w:t>
      </w:r>
      <w:r>
        <w:rPr>
          <w:rFonts w:hint="eastAsia" w:ascii="华文宋体" w:hAnsi="华文宋体" w:eastAsia="华文宋体" w:cs="华文宋体"/>
          <w:b/>
          <w:color w:val="auto"/>
          <w:sz w:val="28"/>
          <w:szCs w:val="28"/>
          <w:highlight w:val="none"/>
        </w:rPr>
        <w:t>（盖公章）</w:t>
      </w:r>
    </w:p>
    <w:p>
      <w:pPr>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highlight w:val="none"/>
        </w:rPr>
      </w:pPr>
    </w:p>
    <w:p>
      <w:pPr>
        <w:pStyle w:val="47"/>
        <w:rPr>
          <w:rFonts w:hint="eastAsia" w:ascii="华文宋体" w:hAnsi="华文宋体" w:eastAsia="华文宋体" w:cs="华文宋体"/>
          <w:color w:val="auto"/>
          <w:highlight w:val="none"/>
        </w:rPr>
      </w:pPr>
    </w:p>
    <w:p>
      <w:pPr>
        <w:pStyle w:val="25"/>
        <w:ind w:left="360"/>
        <w:rPr>
          <w:rFonts w:hint="eastAsia" w:ascii="华文宋体" w:hAnsi="华文宋体" w:eastAsia="华文宋体" w:cs="华文宋体"/>
          <w:color w:val="auto"/>
          <w:highlight w:val="none"/>
        </w:rPr>
      </w:pPr>
    </w:p>
    <w:p>
      <w:pPr>
        <w:pStyle w:val="25"/>
        <w:ind w:left="360"/>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highlight w:val="none"/>
        </w:rPr>
      </w:pPr>
    </w:p>
    <w:p>
      <w:pPr>
        <w:rPr>
          <w:rFonts w:hint="eastAsia" w:ascii="华文宋体" w:hAnsi="华文宋体" w:eastAsia="华文宋体" w:cs="华文宋体"/>
          <w:color w:val="auto"/>
          <w:highlight w:val="none"/>
        </w:rPr>
      </w:pPr>
    </w:p>
    <w:p>
      <w:pPr>
        <w:pStyle w:val="16"/>
        <w:rPr>
          <w:rFonts w:hint="eastAsia" w:ascii="华文宋体" w:hAnsi="华文宋体" w:eastAsia="华文宋体" w:cs="华文宋体"/>
          <w:b/>
          <w:color w:val="auto"/>
          <w:sz w:val="28"/>
          <w:szCs w:val="28"/>
          <w:highlight w:val="none"/>
        </w:rPr>
      </w:pPr>
    </w:p>
    <w:p>
      <w:pPr>
        <w:autoSpaceDE w:val="0"/>
        <w:autoSpaceDN w:val="0"/>
        <w:jc w:val="center"/>
        <w:rPr>
          <w:rFonts w:hint="eastAsia" w:ascii="华文宋体" w:hAnsi="华文宋体" w:eastAsia="华文宋体" w:cs="华文宋体"/>
          <w:bCs/>
          <w:color w:val="auto"/>
          <w:szCs w:val="21"/>
          <w:highlight w:val="none"/>
        </w:rPr>
      </w:pPr>
      <w:r>
        <w:rPr>
          <w:rFonts w:hint="eastAsia" w:ascii="华文宋体" w:hAnsi="华文宋体" w:eastAsia="华文宋体" w:cs="华文宋体"/>
          <w:b/>
          <w:color w:val="auto"/>
          <w:sz w:val="28"/>
          <w:szCs w:val="28"/>
          <w:highlight w:val="none"/>
        </w:rPr>
        <w:t>在开启时间</w:t>
      </w:r>
      <w:r>
        <w:rPr>
          <w:rFonts w:hint="eastAsia" w:ascii="华文宋体" w:hAnsi="华文宋体" w:eastAsia="华文宋体" w:cs="华文宋体"/>
          <w:b/>
          <w:color w:val="auto"/>
          <w:sz w:val="28"/>
          <w:szCs w:val="28"/>
          <w:highlight w:val="none"/>
          <w:u w:val="single"/>
        </w:rPr>
        <w:t xml:space="preserve">     </w:t>
      </w:r>
      <w:r>
        <w:rPr>
          <w:rFonts w:hint="eastAsia" w:ascii="华文宋体" w:hAnsi="华文宋体" w:eastAsia="华文宋体" w:cs="华文宋体"/>
          <w:b/>
          <w:color w:val="auto"/>
          <w:sz w:val="28"/>
          <w:szCs w:val="28"/>
          <w:highlight w:val="none"/>
        </w:rPr>
        <w:t>年</w:t>
      </w:r>
      <w:r>
        <w:rPr>
          <w:rFonts w:hint="eastAsia" w:ascii="华文宋体" w:hAnsi="华文宋体" w:eastAsia="华文宋体" w:cs="华文宋体"/>
          <w:b/>
          <w:color w:val="auto"/>
          <w:sz w:val="28"/>
          <w:szCs w:val="28"/>
          <w:highlight w:val="none"/>
          <w:u w:val="single"/>
        </w:rPr>
        <w:t xml:space="preserve">   </w:t>
      </w:r>
      <w:r>
        <w:rPr>
          <w:rFonts w:hint="eastAsia" w:ascii="华文宋体" w:hAnsi="华文宋体" w:eastAsia="华文宋体" w:cs="华文宋体"/>
          <w:b/>
          <w:color w:val="auto"/>
          <w:sz w:val="28"/>
          <w:szCs w:val="28"/>
          <w:highlight w:val="none"/>
        </w:rPr>
        <w:t>月</w:t>
      </w:r>
      <w:r>
        <w:rPr>
          <w:rFonts w:hint="eastAsia" w:ascii="华文宋体" w:hAnsi="华文宋体" w:eastAsia="华文宋体" w:cs="华文宋体"/>
          <w:b/>
          <w:color w:val="auto"/>
          <w:sz w:val="28"/>
          <w:szCs w:val="28"/>
          <w:highlight w:val="none"/>
          <w:u w:val="single"/>
        </w:rPr>
        <w:t xml:space="preserve">   </w:t>
      </w:r>
      <w:r>
        <w:rPr>
          <w:rFonts w:hint="eastAsia" w:ascii="华文宋体" w:hAnsi="华文宋体" w:eastAsia="华文宋体" w:cs="华文宋体"/>
          <w:b/>
          <w:color w:val="auto"/>
          <w:sz w:val="28"/>
          <w:szCs w:val="28"/>
          <w:highlight w:val="none"/>
        </w:rPr>
        <w:t>日</w:t>
      </w:r>
      <w:r>
        <w:rPr>
          <w:rFonts w:hint="eastAsia" w:ascii="华文宋体" w:hAnsi="华文宋体" w:eastAsia="华文宋体" w:cs="华文宋体"/>
          <w:b/>
          <w:color w:val="auto"/>
          <w:sz w:val="28"/>
          <w:szCs w:val="28"/>
          <w:highlight w:val="none"/>
          <w:u w:val="single"/>
        </w:rPr>
        <w:t xml:space="preserve">   </w:t>
      </w:r>
      <w:r>
        <w:rPr>
          <w:rFonts w:hint="eastAsia" w:ascii="华文宋体" w:hAnsi="华文宋体" w:eastAsia="华文宋体" w:cs="华文宋体"/>
          <w:b/>
          <w:color w:val="auto"/>
          <w:sz w:val="28"/>
          <w:szCs w:val="28"/>
          <w:highlight w:val="none"/>
        </w:rPr>
        <w:t>:</w:t>
      </w:r>
      <w:r>
        <w:rPr>
          <w:rFonts w:hint="eastAsia" w:ascii="华文宋体" w:hAnsi="华文宋体" w:eastAsia="华文宋体" w:cs="华文宋体"/>
          <w:b/>
          <w:color w:val="auto"/>
          <w:sz w:val="28"/>
          <w:szCs w:val="28"/>
          <w:highlight w:val="none"/>
          <w:u w:val="single"/>
        </w:rPr>
        <w:t xml:space="preserve">   </w:t>
      </w:r>
      <w:r>
        <w:rPr>
          <w:rFonts w:hint="eastAsia" w:ascii="华文宋体" w:hAnsi="华文宋体" w:eastAsia="华文宋体" w:cs="华文宋体"/>
          <w:b/>
          <w:color w:val="auto"/>
          <w:sz w:val="28"/>
          <w:szCs w:val="28"/>
          <w:highlight w:val="none"/>
        </w:rPr>
        <w:t>前不得启封</w:t>
      </w:r>
      <w:bookmarkEnd w:id="201"/>
    </w:p>
    <w:p>
      <w:pPr>
        <w:rPr>
          <w:rFonts w:hint="eastAsia" w:ascii="华文宋体" w:hAnsi="华文宋体" w:eastAsia="华文宋体" w:cs="华文宋体"/>
          <w:color w:val="auto"/>
          <w:highlight w:val="none"/>
        </w:rPr>
      </w:pPr>
    </w:p>
    <w:sectPr>
      <w:headerReference r:id="rId12" w:type="first"/>
      <w:footerReference r:id="rId14" w:type="first"/>
      <w:footerReference r:id="rId13" w:type="default"/>
      <w:pgSz w:w="11906" w:h="16838"/>
      <w:pgMar w:top="1610" w:right="1293" w:bottom="1553" w:left="1349"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Noto Sans CJK JP Regular">
    <w:altName w:val="微软雅黑"/>
    <w:panose1 w:val="00000000000000000000"/>
    <w:charset w:val="00"/>
    <w:family w:val="swiss"/>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0"/>
      </w:pBdr>
      <w:ind w:right="25" w:rightChars="14"/>
      <w:jc w:val="center"/>
      <w:rPr>
        <w:rFonts w:hint="eastAsia"/>
      </w:rPr>
    </w:pPr>
    <w:r>
      <w:rPr>
        <w:rFonts w:hint="eastAsia" w:ascii="微软雅黑" w:hAnsi="微软雅黑" w:eastAsia="微软雅黑" w:cs="微软雅黑"/>
        <w:sz w:val="17"/>
        <w:szCs w:val="17"/>
      </w:rPr>
      <mc:AlternateContent>
        <mc:Choice Requires="wps">
          <w:drawing>
            <wp:anchor distT="0" distB="0" distL="114300" distR="114300" simplePos="0" relativeHeight="251659264" behindDoc="0" locked="0" layoutInCell="1" allowOverlap="1">
              <wp:simplePos x="0" y="0"/>
              <wp:positionH relativeFrom="margin">
                <wp:posOffset>2291080</wp:posOffset>
              </wp:positionH>
              <wp:positionV relativeFrom="paragraph">
                <wp:posOffset>19050</wp:posOffset>
              </wp:positionV>
              <wp:extent cx="1156335" cy="296545"/>
              <wp:effectExtent l="0" t="0" r="0" b="0"/>
              <wp:wrapNone/>
              <wp:docPr id="2" name="文本框 3"/>
              <wp:cNvGraphicFramePr/>
              <a:graphic xmlns:a="http://schemas.openxmlformats.org/drawingml/2006/main">
                <a:graphicData uri="http://schemas.microsoft.com/office/word/2010/wordprocessingShape">
                  <wps:wsp>
                    <wps:cNvSpPr txBox="1"/>
                    <wps:spPr>
                      <a:xfrm>
                        <a:off x="0" y="0"/>
                        <a:ext cx="1156335" cy="296545"/>
                      </a:xfrm>
                      <a:prstGeom prst="rect">
                        <a:avLst/>
                      </a:prstGeom>
                      <a:noFill/>
                      <a:ln>
                        <a:noFill/>
                      </a:ln>
                      <a:effectLst/>
                    </wps:spPr>
                    <wps:txbx>
                      <w:txbxContent>
                        <w:p>
                          <w:pPr>
                            <w:pStyle w:val="20"/>
                            <w:jc w:val="center"/>
                            <w:rPr>
                              <w:rFonts w:hint="eastAsia" w:ascii="微软雅黑" w:hAnsi="微软雅黑" w:eastAsia="微软雅黑" w:cs="微软雅黑"/>
                              <w:sz w:val="16"/>
                              <w:szCs w:val="16"/>
                            </w:rPr>
                          </w:pPr>
                          <w:r>
                            <w:rPr>
                              <w:rFonts w:hint="eastAsia" w:ascii="微软雅黑" w:hAnsi="微软雅黑" w:eastAsia="微软雅黑" w:cs="微软雅黑"/>
                              <w:sz w:val="16"/>
                              <w:szCs w:val="16"/>
                            </w:rPr>
                            <w:t xml:space="preserve">第 </w:t>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  \* MERGEFORMAT </w:instrText>
                          </w:r>
                          <w:r>
                            <w:rPr>
                              <w:rFonts w:hint="eastAsia" w:ascii="微软雅黑" w:hAnsi="微软雅黑" w:eastAsia="微软雅黑" w:cs="微软雅黑"/>
                              <w:sz w:val="16"/>
                              <w:szCs w:val="16"/>
                            </w:rPr>
                            <w:fldChar w:fldCharType="separate"/>
                          </w:r>
                          <w:r>
                            <w:rPr>
                              <w:rFonts w:ascii="微软雅黑" w:hAnsi="微软雅黑" w:eastAsia="微软雅黑" w:cs="微软雅黑"/>
                              <w:sz w:val="16"/>
                              <w:szCs w:val="16"/>
                            </w:rPr>
                            <w:t>1</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t xml:space="preserve"> 页 共 </w:t>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NUMPAGES  \* MERGEFORMAT </w:instrText>
                          </w:r>
                          <w:r>
                            <w:rPr>
                              <w:rFonts w:hint="eastAsia" w:ascii="微软雅黑" w:hAnsi="微软雅黑" w:eastAsia="微软雅黑" w:cs="微软雅黑"/>
                              <w:sz w:val="16"/>
                              <w:szCs w:val="16"/>
                            </w:rPr>
                            <w:fldChar w:fldCharType="separate"/>
                          </w:r>
                          <w:r>
                            <w:rPr>
                              <w:rFonts w:ascii="微软雅黑" w:hAnsi="微软雅黑" w:eastAsia="微软雅黑" w:cs="微软雅黑"/>
                              <w:sz w:val="16"/>
                              <w:szCs w:val="16"/>
                            </w:rPr>
                            <w:t>110</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t xml:space="preserve"> 页</w:t>
                          </w:r>
                        </w:p>
                      </w:txbxContent>
                    </wps:txbx>
                    <wps:bodyPr vert="horz" wrap="square" lIns="0" tIns="0" rIns="0" bIns="0" anchor="t" upright="0"/>
                  </wps:wsp>
                </a:graphicData>
              </a:graphic>
            </wp:anchor>
          </w:drawing>
        </mc:Choice>
        <mc:Fallback>
          <w:pict>
            <v:shape id="文本框 3" o:spid="_x0000_s1026" o:spt="202" type="#_x0000_t202" style="position:absolute;left:0pt;margin-left:180.4pt;margin-top:1.5pt;height:23.35pt;width:91.05pt;mso-position-horizontal-relative:margin;z-index:251659264;mso-width-relative:page;mso-height-relative:page;" filled="f" stroked="f" coordsize="21600,21600" o:gfxdata="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62tAN9gAAAAIAQAADwAAAAAAAAAB&#10;ACAAAAAiAAAAZHJzL2Rvd25yZXYueG1sUEsBAhQAFAAAAAgAh07iQDdSMSbXAQAApQMAAA4AAAAA&#10;AAAAAQAgAAAAJwEAAGRycy9lMm9Eb2MueG1sUEsFBgAAAAAGAAYAWQEAAHAFAAAAAA==&#10;">
              <v:fill on="f" focussize="0,0"/>
              <v:stroke on="f"/>
              <v:imagedata o:title=""/>
              <o:lock v:ext="edit" aspectratio="f"/>
              <v:textbox inset="0mm,0mm,0mm,0mm">
                <w:txbxContent>
                  <w:p>
                    <w:pPr>
                      <w:pStyle w:val="20"/>
                      <w:jc w:val="center"/>
                      <w:rPr>
                        <w:rFonts w:hint="eastAsia" w:ascii="微软雅黑" w:hAnsi="微软雅黑" w:eastAsia="微软雅黑" w:cs="微软雅黑"/>
                        <w:sz w:val="16"/>
                        <w:szCs w:val="16"/>
                      </w:rPr>
                    </w:pPr>
                    <w:r>
                      <w:rPr>
                        <w:rFonts w:hint="eastAsia" w:ascii="微软雅黑" w:hAnsi="微软雅黑" w:eastAsia="微软雅黑" w:cs="微软雅黑"/>
                        <w:sz w:val="16"/>
                        <w:szCs w:val="16"/>
                      </w:rPr>
                      <w:t xml:space="preserve">第 </w:t>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  \* MERGEFORMAT </w:instrText>
                    </w:r>
                    <w:r>
                      <w:rPr>
                        <w:rFonts w:hint="eastAsia" w:ascii="微软雅黑" w:hAnsi="微软雅黑" w:eastAsia="微软雅黑" w:cs="微软雅黑"/>
                        <w:sz w:val="16"/>
                        <w:szCs w:val="16"/>
                      </w:rPr>
                      <w:fldChar w:fldCharType="separate"/>
                    </w:r>
                    <w:r>
                      <w:rPr>
                        <w:rFonts w:ascii="微软雅黑" w:hAnsi="微软雅黑" w:eastAsia="微软雅黑" w:cs="微软雅黑"/>
                        <w:sz w:val="16"/>
                        <w:szCs w:val="16"/>
                      </w:rPr>
                      <w:t>1</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t xml:space="preserve"> 页 共 </w:t>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NUMPAGES  \* MERGEFORMAT </w:instrText>
                    </w:r>
                    <w:r>
                      <w:rPr>
                        <w:rFonts w:hint="eastAsia" w:ascii="微软雅黑" w:hAnsi="微软雅黑" w:eastAsia="微软雅黑" w:cs="微软雅黑"/>
                        <w:sz w:val="16"/>
                        <w:szCs w:val="16"/>
                      </w:rPr>
                      <w:fldChar w:fldCharType="separate"/>
                    </w:r>
                    <w:r>
                      <w:rPr>
                        <w:rFonts w:ascii="微软雅黑" w:hAnsi="微软雅黑" w:eastAsia="微软雅黑" w:cs="微软雅黑"/>
                        <w:sz w:val="16"/>
                        <w:szCs w:val="16"/>
                      </w:rPr>
                      <w:t>110</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t xml:space="preserve"> 页</w:t>
                    </w:r>
                  </w:p>
                </w:txbxContent>
              </v:textbox>
            </v:shape>
          </w:pict>
        </mc:Fallback>
      </mc:AlternateContent>
    </w:r>
    <w:r>
      <w:rPr>
        <w:rFonts w:hint="eastAsia" w:ascii="微软雅黑" w:hAnsi="微软雅黑" w:eastAsia="微软雅黑" w:cs="微软雅黑"/>
        <w:sz w:val="17"/>
        <w:szCs w:val="17"/>
      </w:rPr>
      <w:t>项目编号: GDGC2304CS18</w:t>
    </w:r>
    <w:r>
      <w:rPr>
        <w:rFonts w:hint="eastAsia" w:ascii="微软雅黑" w:hAnsi="微软雅黑" w:eastAsia="微软雅黑" w:cs="微软雅黑"/>
        <w:bCs/>
        <w:sz w:val="17"/>
        <w:szCs w:val="17"/>
      </w:rPr>
      <w:t xml:space="preserve"> </w:t>
    </w:r>
    <w:r>
      <w:rPr>
        <w:rFonts w:hint="eastAsia" w:ascii="微软雅黑" w:hAnsi="微软雅黑" w:eastAsia="微软雅黑" w:cs="微软雅黑"/>
        <w:sz w:val="17"/>
        <w:szCs w:val="17"/>
      </w:rPr>
      <w:t xml:space="preserve">                                         </w:t>
    </w:r>
    <w:r>
      <w:rPr>
        <w:rFonts w:hint="eastAsia" w:ascii="微软雅黑" w:hAnsi="微软雅黑" w:eastAsia="微软雅黑" w:cs="微软雅黑"/>
        <w:sz w:val="17"/>
        <w:szCs w:val="17"/>
        <w:lang w:val="en-US" w:eastAsia="zh-CN"/>
      </w:rPr>
      <w:t xml:space="preserve">          </w:t>
    </w:r>
    <w:r>
      <w:rPr>
        <w:rFonts w:hint="eastAsia" w:ascii="微软雅黑" w:hAnsi="微软雅黑" w:eastAsia="微软雅黑" w:cs="微软雅黑"/>
        <w:sz w:val="17"/>
        <w:szCs w:val="17"/>
      </w:rPr>
      <w:t xml:space="preserve">      广东公采招标有限公司 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4"/>
      </w:rPr>
    </w:pPr>
    <w:r>
      <w:fldChar w:fldCharType="begin"/>
    </w:r>
    <w:r>
      <w:rPr>
        <w:rStyle w:val="34"/>
      </w:rPr>
      <w:instrText xml:space="preserve">PAGE  </w:instrText>
    </w:r>
    <w:r>
      <w:fldChar w:fldCharType="separate"/>
    </w:r>
    <w:r>
      <w:rPr>
        <w:rStyle w:val="34"/>
      </w:rPr>
      <w:t>10</w: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0"/>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7886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78865" cy="147955"/>
                      </a:xfrm>
                      <a:prstGeom prst="rect">
                        <a:avLst/>
                      </a:prstGeom>
                      <a:noFill/>
                      <a:ln>
                        <a:noFill/>
                      </a:ln>
                      <a:effectLst/>
                    </wps:spPr>
                    <wps:txbx>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109</w:t>
                          </w:r>
                          <w:r>
                            <w:rPr>
                              <w:rFonts w:hint="eastAsia"/>
                            </w:rPr>
                            <w:fldChar w:fldCharType="end"/>
                          </w:r>
                          <w:r>
                            <w:rPr>
                              <w:rFonts w:hint="eastAsia"/>
                            </w:rPr>
                            <w:t xml:space="preserve"> 页</w:t>
                          </w:r>
                        </w:p>
                      </w:txbxContent>
                    </wps:txbx>
                    <wps:bodyPr wrap="square" lIns="0" tIns="0" rIns="0" bIns="0" upright="0">
                      <a:spAutoFit/>
                    </wps:bodyPr>
                  </wps:wsp>
                </a:graphicData>
              </a:graphic>
            </wp:anchor>
          </w:drawing>
        </mc:Choice>
        <mc:Fallback>
          <w:pict>
            <v:shape id="_x0000_s1026" o:spid="_x0000_s1026" o:spt="202" type="#_x0000_t202" style="position:absolute;left:0pt;margin-top:0pt;height:11.65pt;width:84.95pt;mso-position-horizontal:center;mso-position-horizontal-relative:margin;z-index:251661312;mso-width-relative:page;mso-height-relative:page;" filled="f" stroked="f" coordsize="21600,21600" o:gfxdata="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nPqL40gAAAAQBAAAPAAAAAAAAAAEAIAAAACIA&#10;AABkcnMvZG93bnJldi54bWxQSwECFAAUAAAACACHTuJAB32j19YBAACoAwAADgAAAAAAAAABACAA&#10;AAAhAQAAZHJzL2Uyb0RvYy54bWxQSwUGAAAAAAYABgBZAQAAaQUAAAAA&#10;">
              <v:fill on="f" focussize="0,0"/>
              <v:stroke on="f"/>
              <v:imagedata o:title=""/>
              <o:lock v:ext="edit" aspectratio="f"/>
              <v:textbox inset="0mm,0mm,0mm,0mm" style="mso-fit-shape-to-text:t;">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109</w:t>
                    </w:r>
                    <w:r>
                      <w:rPr>
                        <w:rFonts w:hint="eastAsia"/>
                      </w:rPr>
                      <w:fldChar w:fldCharType="end"/>
                    </w:r>
                    <w:r>
                      <w:rPr>
                        <w:rFonts w:hint="eastAsia"/>
                      </w:rPr>
                      <w:t xml:space="preserve"> 页</w:t>
                    </w:r>
                  </w:p>
                </w:txbxContent>
              </v:textbox>
            </v:shape>
          </w:pict>
        </mc:Fallback>
      </mc:AlternateContent>
    </w:r>
    <w:r>
      <w:rPr>
        <w:rFonts w:hint="eastAsia"/>
      </w:rPr>
      <w:t>项目编号:GDGC2304CS18</w:t>
    </w:r>
    <w:r>
      <w:t xml:space="preserve"> </w:t>
    </w:r>
    <w:r>
      <w:rPr>
        <w:rFonts w:hint="eastAsia"/>
      </w:rPr>
      <w:t xml:space="preserve">                 </w:t>
    </w:r>
    <w:r>
      <w:t xml:space="preserve">   </w:t>
    </w:r>
    <w:r>
      <w:rPr>
        <w:rFonts w:hint="eastAsia"/>
      </w:rPr>
      <w:t xml:space="preserve">                               </w:t>
    </w:r>
    <w:r>
      <w:t xml:space="preserve">  </w:t>
    </w:r>
    <w:r>
      <w:rPr>
        <w:rFonts w:hint="eastAsia"/>
      </w:rPr>
      <w:t xml:space="preserve">   广东公采招标有限公司 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0"/>
      </w:pBdr>
      <w:jc w:val="center"/>
      <w:rPr>
        <w:rFonts w:hint="eastAsia" w:ascii="微软雅黑" w:hAnsi="微软雅黑" w:eastAsia="微软雅黑" w:cs="微软雅黑"/>
      </w:rPr>
    </w:pPr>
    <w:r>
      <w:rPr>
        <w:rFonts w:hint="eastAsia" w:ascii="微软雅黑" w:hAnsi="微软雅黑" w:eastAsia="微软雅黑" w:cs="微软雅黑"/>
        <w:sz w:val="17"/>
        <w:szCs w:val="17"/>
      </w:rPr>
      <mc:AlternateContent>
        <mc:Choice Requires="wps">
          <w:drawing>
            <wp:anchor distT="0" distB="0" distL="114300" distR="114300" simplePos="0" relativeHeight="251662336" behindDoc="0" locked="0" layoutInCell="1" allowOverlap="1">
              <wp:simplePos x="0" y="0"/>
              <wp:positionH relativeFrom="margin">
                <wp:posOffset>2299970</wp:posOffset>
              </wp:positionH>
              <wp:positionV relativeFrom="paragraph">
                <wp:posOffset>0</wp:posOffset>
              </wp:positionV>
              <wp:extent cx="1282700" cy="147955"/>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282700" cy="147955"/>
                      </a:xfrm>
                      <a:prstGeom prst="rect">
                        <a:avLst/>
                      </a:prstGeom>
                      <a:noFill/>
                      <a:ln>
                        <a:noFill/>
                      </a:ln>
                      <a:effectLst/>
                    </wps:spPr>
                    <wps:txbx>
                      <w:txbxContent>
                        <w:p>
                          <w:pPr>
                            <w:pStyle w:val="20"/>
                            <w:jc w:val="center"/>
                            <w:rPr>
                              <w:rFonts w:hint="eastAsia" w:ascii="微软雅黑" w:hAnsi="微软雅黑" w:eastAsia="微软雅黑" w:cs="微软雅黑"/>
                              <w:sz w:val="17"/>
                              <w:szCs w:val="17"/>
                            </w:rPr>
                          </w:pPr>
                          <w:r>
                            <w:rPr>
                              <w:rFonts w:hint="eastAsia" w:ascii="微软雅黑" w:hAnsi="微软雅黑" w:eastAsia="微软雅黑" w:cs="微软雅黑"/>
                              <w:sz w:val="17"/>
                              <w:szCs w:val="17"/>
                            </w:rPr>
                            <w:t xml:space="preserve">第 </w:t>
                          </w:r>
                          <w:r>
                            <w:rPr>
                              <w:rFonts w:hint="eastAsia" w:ascii="微软雅黑" w:hAnsi="微软雅黑" w:eastAsia="微软雅黑" w:cs="微软雅黑"/>
                              <w:sz w:val="17"/>
                              <w:szCs w:val="17"/>
                            </w:rPr>
                            <w:fldChar w:fldCharType="begin"/>
                          </w:r>
                          <w:r>
                            <w:rPr>
                              <w:rFonts w:hint="eastAsia" w:ascii="微软雅黑" w:hAnsi="微软雅黑" w:eastAsia="微软雅黑" w:cs="微软雅黑"/>
                              <w:sz w:val="17"/>
                              <w:szCs w:val="17"/>
                            </w:rPr>
                            <w:instrText xml:space="preserve"> PAGE  \* MERGEFORMAT </w:instrText>
                          </w:r>
                          <w:r>
                            <w:rPr>
                              <w:rFonts w:hint="eastAsia" w:ascii="微软雅黑" w:hAnsi="微软雅黑" w:eastAsia="微软雅黑" w:cs="微软雅黑"/>
                              <w:sz w:val="17"/>
                              <w:szCs w:val="17"/>
                            </w:rPr>
                            <w:fldChar w:fldCharType="separate"/>
                          </w:r>
                          <w:r>
                            <w:rPr>
                              <w:rFonts w:ascii="微软雅黑" w:hAnsi="微软雅黑" w:eastAsia="微软雅黑" w:cs="微软雅黑"/>
                              <w:sz w:val="17"/>
                              <w:szCs w:val="17"/>
                            </w:rPr>
                            <w:t>78</w:t>
                          </w:r>
                          <w:r>
                            <w:rPr>
                              <w:rFonts w:hint="eastAsia" w:ascii="微软雅黑" w:hAnsi="微软雅黑" w:eastAsia="微软雅黑" w:cs="微软雅黑"/>
                              <w:sz w:val="17"/>
                              <w:szCs w:val="17"/>
                            </w:rPr>
                            <w:fldChar w:fldCharType="end"/>
                          </w:r>
                          <w:r>
                            <w:rPr>
                              <w:rFonts w:hint="eastAsia" w:ascii="微软雅黑" w:hAnsi="微软雅黑" w:eastAsia="微软雅黑" w:cs="微软雅黑"/>
                              <w:sz w:val="17"/>
                              <w:szCs w:val="17"/>
                            </w:rPr>
                            <w:t xml:space="preserve"> 页 共 </w:t>
                          </w:r>
                          <w:r>
                            <w:rPr>
                              <w:rFonts w:hint="eastAsia" w:ascii="微软雅黑" w:hAnsi="微软雅黑" w:eastAsia="微软雅黑" w:cs="微软雅黑"/>
                              <w:sz w:val="17"/>
                              <w:szCs w:val="17"/>
                            </w:rPr>
                            <w:fldChar w:fldCharType="begin"/>
                          </w:r>
                          <w:r>
                            <w:rPr>
                              <w:rFonts w:hint="eastAsia" w:ascii="微软雅黑" w:hAnsi="微软雅黑" w:eastAsia="微软雅黑" w:cs="微软雅黑"/>
                              <w:sz w:val="17"/>
                              <w:szCs w:val="17"/>
                            </w:rPr>
                            <w:instrText xml:space="preserve"> NUMPAGES  \* MERGEFORMAT </w:instrText>
                          </w:r>
                          <w:r>
                            <w:rPr>
                              <w:rFonts w:hint="eastAsia" w:ascii="微软雅黑" w:hAnsi="微软雅黑" w:eastAsia="微软雅黑" w:cs="微软雅黑"/>
                              <w:sz w:val="17"/>
                              <w:szCs w:val="17"/>
                            </w:rPr>
                            <w:fldChar w:fldCharType="separate"/>
                          </w:r>
                          <w:r>
                            <w:rPr>
                              <w:rFonts w:ascii="微软雅黑" w:hAnsi="微软雅黑" w:eastAsia="微软雅黑" w:cs="微软雅黑"/>
                              <w:sz w:val="17"/>
                              <w:szCs w:val="17"/>
                            </w:rPr>
                            <w:t>110</w:t>
                          </w:r>
                          <w:r>
                            <w:rPr>
                              <w:rFonts w:hint="eastAsia" w:ascii="微软雅黑" w:hAnsi="微软雅黑" w:eastAsia="微软雅黑" w:cs="微软雅黑"/>
                              <w:sz w:val="17"/>
                              <w:szCs w:val="17"/>
                            </w:rPr>
                            <w:fldChar w:fldCharType="end"/>
                          </w:r>
                          <w:r>
                            <w:rPr>
                              <w:rFonts w:hint="eastAsia" w:ascii="微软雅黑" w:hAnsi="微软雅黑" w:eastAsia="微软雅黑" w:cs="微软雅黑"/>
                              <w:sz w:val="17"/>
                              <w:szCs w:val="17"/>
                            </w:rPr>
                            <w:t xml:space="preserve"> 页</w:t>
                          </w:r>
                        </w:p>
                      </w:txbxContent>
                    </wps:txbx>
                    <wps:bodyPr vert="horz" wrap="square" lIns="0" tIns="0" rIns="0" bIns="0" anchor="t" upright="0">
                      <a:spAutoFit/>
                    </wps:bodyPr>
                  </wps:wsp>
                </a:graphicData>
              </a:graphic>
            </wp:anchor>
          </w:drawing>
        </mc:Choice>
        <mc:Fallback>
          <w:pict>
            <v:shape id="文本框 10" o:spid="_x0000_s1026" o:spt="202" type="#_x0000_t202" style="position:absolute;left:0pt;margin-left:181.1pt;margin-top:0pt;height:11.65pt;width:101pt;mso-position-horizontal-relative:margin;z-index:251662336;mso-width-relative:page;mso-height-relative:page;" filled="f" stroked="f" coordsize="21600,21600" o:gfxdata="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8uvJ1AAAAAcBAAAP&#10;AAAAAAAAAAEAIAAAACIAAABkcnMvZG93bnJldi54bWxQSwECFAAUAAAACACHTuJAUFAAqOMBAADA&#10;AwAADgAAAAAAAAABACAAAAAjAQAAZHJzL2Uyb0RvYy54bWxQSwUGAAAAAAYABgBZAQAAeAUAAAAA&#10;">
              <v:fill on="f" focussize="0,0"/>
              <v:stroke on="f"/>
              <v:imagedata o:title=""/>
              <o:lock v:ext="edit" aspectratio="f"/>
              <v:textbox inset="0mm,0mm,0mm,0mm" style="mso-fit-shape-to-text:t;">
                <w:txbxContent>
                  <w:p>
                    <w:pPr>
                      <w:pStyle w:val="20"/>
                      <w:jc w:val="center"/>
                      <w:rPr>
                        <w:rFonts w:hint="eastAsia" w:ascii="微软雅黑" w:hAnsi="微软雅黑" w:eastAsia="微软雅黑" w:cs="微软雅黑"/>
                        <w:sz w:val="17"/>
                        <w:szCs w:val="17"/>
                      </w:rPr>
                    </w:pPr>
                    <w:r>
                      <w:rPr>
                        <w:rFonts w:hint="eastAsia" w:ascii="微软雅黑" w:hAnsi="微软雅黑" w:eastAsia="微软雅黑" w:cs="微软雅黑"/>
                        <w:sz w:val="17"/>
                        <w:szCs w:val="17"/>
                      </w:rPr>
                      <w:t xml:space="preserve">第 </w:t>
                    </w:r>
                    <w:r>
                      <w:rPr>
                        <w:rFonts w:hint="eastAsia" w:ascii="微软雅黑" w:hAnsi="微软雅黑" w:eastAsia="微软雅黑" w:cs="微软雅黑"/>
                        <w:sz w:val="17"/>
                        <w:szCs w:val="17"/>
                      </w:rPr>
                      <w:fldChar w:fldCharType="begin"/>
                    </w:r>
                    <w:r>
                      <w:rPr>
                        <w:rFonts w:hint="eastAsia" w:ascii="微软雅黑" w:hAnsi="微软雅黑" w:eastAsia="微软雅黑" w:cs="微软雅黑"/>
                        <w:sz w:val="17"/>
                        <w:szCs w:val="17"/>
                      </w:rPr>
                      <w:instrText xml:space="preserve"> PAGE  \* MERGEFORMAT </w:instrText>
                    </w:r>
                    <w:r>
                      <w:rPr>
                        <w:rFonts w:hint="eastAsia" w:ascii="微软雅黑" w:hAnsi="微软雅黑" w:eastAsia="微软雅黑" w:cs="微软雅黑"/>
                        <w:sz w:val="17"/>
                        <w:szCs w:val="17"/>
                      </w:rPr>
                      <w:fldChar w:fldCharType="separate"/>
                    </w:r>
                    <w:r>
                      <w:rPr>
                        <w:rFonts w:ascii="微软雅黑" w:hAnsi="微软雅黑" w:eastAsia="微软雅黑" w:cs="微软雅黑"/>
                        <w:sz w:val="17"/>
                        <w:szCs w:val="17"/>
                      </w:rPr>
                      <w:t>78</w:t>
                    </w:r>
                    <w:r>
                      <w:rPr>
                        <w:rFonts w:hint="eastAsia" w:ascii="微软雅黑" w:hAnsi="微软雅黑" w:eastAsia="微软雅黑" w:cs="微软雅黑"/>
                        <w:sz w:val="17"/>
                        <w:szCs w:val="17"/>
                      </w:rPr>
                      <w:fldChar w:fldCharType="end"/>
                    </w:r>
                    <w:r>
                      <w:rPr>
                        <w:rFonts w:hint="eastAsia" w:ascii="微软雅黑" w:hAnsi="微软雅黑" w:eastAsia="微软雅黑" w:cs="微软雅黑"/>
                        <w:sz w:val="17"/>
                        <w:szCs w:val="17"/>
                      </w:rPr>
                      <w:t xml:space="preserve"> 页 共 </w:t>
                    </w:r>
                    <w:r>
                      <w:rPr>
                        <w:rFonts w:hint="eastAsia" w:ascii="微软雅黑" w:hAnsi="微软雅黑" w:eastAsia="微软雅黑" w:cs="微软雅黑"/>
                        <w:sz w:val="17"/>
                        <w:szCs w:val="17"/>
                      </w:rPr>
                      <w:fldChar w:fldCharType="begin"/>
                    </w:r>
                    <w:r>
                      <w:rPr>
                        <w:rFonts w:hint="eastAsia" w:ascii="微软雅黑" w:hAnsi="微软雅黑" w:eastAsia="微软雅黑" w:cs="微软雅黑"/>
                        <w:sz w:val="17"/>
                        <w:szCs w:val="17"/>
                      </w:rPr>
                      <w:instrText xml:space="preserve"> NUMPAGES  \* MERGEFORMAT </w:instrText>
                    </w:r>
                    <w:r>
                      <w:rPr>
                        <w:rFonts w:hint="eastAsia" w:ascii="微软雅黑" w:hAnsi="微软雅黑" w:eastAsia="微软雅黑" w:cs="微软雅黑"/>
                        <w:sz w:val="17"/>
                        <w:szCs w:val="17"/>
                      </w:rPr>
                      <w:fldChar w:fldCharType="separate"/>
                    </w:r>
                    <w:r>
                      <w:rPr>
                        <w:rFonts w:ascii="微软雅黑" w:hAnsi="微软雅黑" w:eastAsia="微软雅黑" w:cs="微软雅黑"/>
                        <w:sz w:val="17"/>
                        <w:szCs w:val="17"/>
                      </w:rPr>
                      <w:t>110</w:t>
                    </w:r>
                    <w:r>
                      <w:rPr>
                        <w:rFonts w:hint="eastAsia" w:ascii="微软雅黑" w:hAnsi="微软雅黑" w:eastAsia="微软雅黑" w:cs="微软雅黑"/>
                        <w:sz w:val="17"/>
                        <w:szCs w:val="17"/>
                      </w:rPr>
                      <w:fldChar w:fldCharType="end"/>
                    </w:r>
                    <w:r>
                      <w:rPr>
                        <w:rFonts w:hint="eastAsia" w:ascii="微软雅黑" w:hAnsi="微软雅黑" w:eastAsia="微软雅黑" w:cs="微软雅黑"/>
                        <w:sz w:val="17"/>
                        <w:szCs w:val="17"/>
                      </w:rPr>
                      <w:t xml:space="preserve"> 页</w:t>
                    </w:r>
                  </w:p>
                </w:txbxContent>
              </v:textbox>
            </v:shape>
          </w:pict>
        </mc:Fallback>
      </mc:AlternateContent>
    </w:r>
    <w:r>
      <w:rPr>
        <w:rFonts w:hint="eastAsia" w:ascii="微软雅黑" w:hAnsi="微软雅黑" w:eastAsia="微软雅黑" w:cs="微软雅黑"/>
        <w:sz w:val="17"/>
        <w:szCs w:val="17"/>
      </w:rPr>
      <w:t>项目编号:GDGC2304CS18                                                           广东公采招标有限公司 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0"/>
      </w:pBdr>
      <w:rPr>
        <w:rFonts w:hint="eastAsia"/>
      </w:rPr>
    </w:pPr>
    <w:r>
      <w:rPr>
        <w:rFonts w:hint="eastAsia" w:ascii="微软雅黑" w:hAnsi="微软雅黑" w:eastAsia="微软雅黑" w:cs="微软雅黑"/>
        <w:sz w:val="17"/>
        <w:szCs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0"/>
                            <w:jc w:val="center"/>
                            <w:rPr>
                              <w:rFonts w:hint="eastAsia" w:ascii="微软雅黑" w:hAnsi="微软雅黑" w:eastAsia="微软雅黑" w:cs="微软雅黑"/>
                              <w:sz w:val="17"/>
                              <w:szCs w:val="17"/>
                            </w:rPr>
                          </w:pPr>
                          <w:r>
                            <w:rPr>
                              <w:rFonts w:hint="eastAsia" w:ascii="微软雅黑" w:hAnsi="微软雅黑" w:eastAsia="微软雅黑" w:cs="微软雅黑"/>
                              <w:sz w:val="17"/>
                              <w:szCs w:val="17"/>
                            </w:rPr>
                            <w:t xml:space="preserve">第 </w:t>
                          </w:r>
                          <w:r>
                            <w:rPr>
                              <w:rFonts w:hint="eastAsia" w:ascii="微软雅黑" w:hAnsi="微软雅黑" w:eastAsia="微软雅黑" w:cs="微软雅黑"/>
                              <w:sz w:val="17"/>
                              <w:szCs w:val="17"/>
                            </w:rPr>
                            <w:fldChar w:fldCharType="begin"/>
                          </w:r>
                          <w:r>
                            <w:rPr>
                              <w:rFonts w:hint="eastAsia" w:ascii="微软雅黑" w:hAnsi="微软雅黑" w:eastAsia="微软雅黑" w:cs="微软雅黑"/>
                              <w:sz w:val="17"/>
                              <w:szCs w:val="17"/>
                            </w:rPr>
                            <w:instrText xml:space="preserve"> PAGE  \* MERGEFORMAT </w:instrText>
                          </w:r>
                          <w:r>
                            <w:rPr>
                              <w:rFonts w:hint="eastAsia" w:ascii="微软雅黑" w:hAnsi="微软雅黑" w:eastAsia="微软雅黑" w:cs="微软雅黑"/>
                              <w:sz w:val="17"/>
                              <w:szCs w:val="17"/>
                            </w:rPr>
                            <w:fldChar w:fldCharType="separate"/>
                          </w:r>
                          <w:r>
                            <w:rPr>
                              <w:rFonts w:ascii="微软雅黑" w:hAnsi="微软雅黑" w:eastAsia="微软雅黑" w:cs="微软雅黑"/>
                              <w:sz w:val="17"/>
                              <w:szCs w:val="17"/>
                            </w:rPr>
                            <w:t>80</w:t>
                          </w:r>
                          <w:r>
                            <w:rPr>
                              <w:rFonts w:hint="eastAsia" w:ascii="微软雅黑" w:hAnsi="微软雅黑" w:eastAsia="微软雅黑" w:cs="微软雅黑"/>
                              <w:sz w:val="17"/>
                              <w:szCs w:val="17"/>
                            </w:rPr>
                            <w:fldChar w:fldCharType="end"/>
                          </w:r>
                          <w:r>
                            <w:rPr>
                              <w:rFonts w:hint="eastAsia" w:ascii="微软雅黑" w:hAnsi="微软雅黑" w:eastAsia="微软雅黑" w:cs="微软雅黑"/>
                              <w:sz w:val="17"/>
                              <w:szCs w:val="17"/>
                            </w:rPr>
                            <w:t xml:space="preserve"> 页 共 </w:t>
                          </w:r>
                          <w:r>
                            <w:rPr>
                              <w:rFonts w:hint="eastAsia" w:ascii="微软雅黑" w:hAnsi="微软雅黑" w:eastAsia="微软雅黑" w:cs="微软雅黑"/>
                              <w:sz w:val="17"/>
                              <w:szCs w:val="17"/>
                            </w:rPr>
                            <w:fldChar w:fldCharType="begin"/>
                          </w:r>
                          <w:r>
                            <w:rPr>
                              <w:rFonts w:hint="eastAsia" w:ascii="微软雅黑" w:hAnsi="微软雅黑" w:eastAsia="微软雅黑" w:cs="微软雅黑"/>
                              <w:sz w:val="17"/>
                              <w:szCs w:val="17"/>
                            </w:rPr>
                            <w:instrText xml:space="preserve"> NUMPAGES  \* MERGEFORMAT </w:instrText>
                          </w:r>
                          <w:r>
                            <w:rPr>
                              <w:rFonts w:hint="eastAsia" w:ascii="微软雅黑" w:hAnsi="微软雅黑" w:eastAsia="微软雅黑" w:cs="微软雅黑"/>
                              <w:sz w:val="17"/>
                              <w:szCs w:val="17"/>
                            </w:rPr>
                            <w:fldChar w:fldCharType="separate"/>
                          </w:r>
                          <w:r>
                            <w:rPr>
                              <w:rFonts w:ascii="微软雅黑" w:hAnsi="微软雅黑" w:eastAsia="微软雅黑" w:cs="微软雅黑"/>
                              <w:sz w:val="17"/>
                              <w:szCs w:val="17"/>
                            </w:rPr>
                            <w:t>110</w:t>
                          </w:r>
                          <w:r>
                            <w:rPr>
                              <w:rFonts w:hint="eastAsia" w:ascii="微软雅黑" w:hAnsi="微软雅黑" w:eastAsia="微软雅黑" w:cs="微软雅黑"/>
                              <w:sz w:val="17"/>
                              <w:szCs w:val="17"/>
                            </w:rPr>
                            <w:fldChar w:fldCharType="end"/>
                          </w:r>
                          <w:r>
                            <w:rPr>
                              <w:rFonts w:hint="eastAsia" w:ascii="微软雅黑" w:hAnsi="微软雅黑" w:eastAsia="微软雅黑" w:cs="微软雅黑"/>
                              <w:sz w:val="17"/>
                              <w:szCs w:val="17"/>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cgsc0BAACp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wcfdCHLi9V6o7+9hhppDxp6jDCEsPk0AtmrtO2pRV57Oeqhz9s+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gcgsc0BAACpAwAADgAAAAAAAAABACAAAAAeAQAAZHJzL2Uy&#10;b0RvYy54bWxQSwUGAAAAAAYABgBZAQAAXQUAAAAA&#10;">
              <v:fill on="f" focussize="0,0"/>
              <v:stroke on="f"/>
              <v:imagedata o:title=""/>
              <o:lock v:ext="edit" aspectratio="f"/>
              <v:textbox inset="0mm,0mm,0mm,0mm" style="mso-fit-shape-to-text:t;">
                <w:txbxContent>
                  <w:p>
                    <w:pPr>
                      <w:pStyle w:val="20"/>
                      <w:jc w:val="center"/>
                      <w:rPr>
                        <w:rFonts w:hint="eastAsia" w:ascii="微软雅黑" w:hAnsi="微软雅黑" w:eastAsia="微软雅黑" w:cs="微软雅黑"/>
                        <w:sz w:val="17"/>
                        <w:szCs w:val="17"/>
                      </w:rPr>
                    </w:pPr>
                    <w:r>
                      <w:rPr>
                        <w:rFonts w:hint="eastAsia" w:ascii="微软雅黑" w:hAnsi="微软雅黑" w:eastAsia="微软雅黑" w:cs="微软雅黑"/>
                        <w:sz w:val="17"/>
                        <w:szCs w:val="17"/>
                      </w:rPr>
                      <w:t xml:space="preserve">第 </w:t>
                    </w:r>
                    <w:r>
                      <w:rPr>
                        <w:rFonts w:hint="eastAsia" w:ascii="微软雅黑" w:hAnsi="微软雅黑" w:eastAsia="微软雅黑" w:cs="微软雅黑"/>
                        <w:sz w:val="17"/>
                        <w:szCs w:val="17"/>
                      </w:rPr>
                      <w:fldChar w:fldCharType="begin"/>
                    </w:r>
                    <w:r>
                      <w:rPr>
                        <w:rFonts w:hint="eastAsia" w:ascii="微软雅黑" w:hAnsi="微软雅黑" w:eastAsia="微软雅黑" w:cs="微软雅黑"/>
                        <w:sz w:val="17"/>
                        <w:szCs w:val="17"/>
                      </w:rPr>
                      <w:instrText xml:space="preserve"> PAGE  \* MERGEFORMAT </w:instrText>
                    </w:r>
                    <w:r>
                      <w:rPr>
                        <w:rFonts w:hint="eastAsia" w:ascii="微软雅黑" w:hAnsi="微软雅黑" w:eastAsia="微软雅黑" w:cs="微软雅黑"/>
                        <w:sz w:val="17"/>
                        <w:szCs w:val="17"/>
                      </w:rPr>
                      <w:fldChar w:fldCharType="separate"/>
                    </w:r>
                    <w:r>
                      <w:rPr>
                        <w:rFonts w:ascii="微软雅黑" w:hAnsi="微软雅黑" w:eastAsia="微软雅黑" w:cs="微软雅黑"/>
                        <w:sz w:val="17"/>
                        <w:szCs w:val="17"/>
                      </w:rPr>
                      <w:t>80</w:t>
                    </w:r>
                    <w:r>
                      <w:rPr>
                        <w:rFonts w:hint="eastAsia" w:ascii="微软雅黑" w:hAnsi="微软雅黑" w:eastAsia="微软雅黑" w:cs="微软雅黑"/>
                        <w:sz w:val="17"/>
                        <w:szCs w:val="17"/>
                      </w:rPr>
                      <w:fldChar w:fldCharType="end"/>
                    </w:r>
                    <w:r>
                      <w:rPr>
                        <w:rFonts w:hint="eastAsia" w:ascii="微软雅黑" w:hAnsi="微软雅黑" w:eastAsia="微软雅黑" w:cs="微软雅黑"/>
                        <w:sz w:val="17"/>
                        <w:szCs w:val="17"/>
                      </w:rPr>
                      <w:t xml:space="preserve"> 页 共 </w:t>
                    </w:r>
                    <w:r>
                      <w:rPr>
                        <w:rFonts w:hint="eastAsia" w:ascii="微软雅黑" w:hAnsi="微软雅黑" w:eastAsia="微软雅黑" w:cs="微软雅黑"/>
                        <w:sz w:val="17"/>
                        <w:szCs w:val="17"/>
                      </w:rPr>
                      <w:fldChar w:fldCharType="begin"/>
                    </w:r>
                    <w:r>
                      <w:rPr>
                        <w:rFonts w:hint="eastAsia" w:ascii="微软雅黑" w:hAnsi="微软雅黑" w:eastAsia="微软雅黑" w:cs="微软雅黑"/>
                        <w:sz w:val="17"/>
                        <w:szCs w:val="17"/>
                      </w:rPr>
                      <w:instrText xml:space="preserve"> NUMPAGES  \* MERGEFORMAT </w:instrText>
                    </w:r>
                    <w:r>
                      <w:rPr>
                        <w:rFonts w:hint="eastAsia" w:ascii="微软雅黑" w:hAnsi="微软雅黑" w:eastAsia="微软雅黑" w:cs="微软雅黑"/>
                        <w:sz w:val="17"/>
                        <w:szCs w:val="17"/>
                      </w:rPr>
                      <w:fldChar w:fldCharType="separate"/>
                    </w:r>
                    <w:r>
                      <w:rPr>
                        <w:rFonts w:ascii="微软雅黑" w:hAnsi="微软雅黑" w:eastAsia="微软雅黑" w:cs="微软雅黑"/>
                        <w:sz w:val="17"/>
                        <w:szCs w:val="17"/>
                      </w:rPr>
                      <w:t>110</w:t>
                    </w:r>
                    <w:r>
                      <w:rPr>
                        <w:rFonts w:hint="eastAsia" w:ascii="微软雅黑" w:hAnsi="微软雅黑" w:eastAsia="微软雅黑" w:cs="微软雅黑"/>
                        <w:sz w:val="17"/>
                        <w:szCs w:val="17"/>
                      </w:rPr>
                      <w:fldChar w:fldCharType="end"/>
                    </w:r>
                    <w:r>
                      <w:rPr>
                        <w:rFonts w:hint="eastAsia" w:ascii="微软雅黑" w:hAnsi="微软雅黑" w:eastAsia="微软雅黑" w:cs="微软雅黑"/>
                        <w:sz w:val="17"/>
                        <w:szCs w:val="17"/>
                      </w:rPr>
                      <w:t xml:space="preserve"> 页</w:t>
                    </w:r>
                  </w:p>
                </w:txbxContent>
              </v:textbox>
            </v:shape>
          </w:pict>
        </mc:Fallback>
      </mc:AlternateContent>
    </w:r>
    <w:r>
      <w:rPr>
        <w:rFonts w:hint="eastAsia" w:ascii="微软雅黑" w:hAnsi="微软雅黑" w:eastAsia="微软雅黑" w:cs="微软雅黑"/>
        <w:sz w:val="17"/>
        <w:szCs w:val="17"/>
      </w:rPr>
      <w:t>项目编号: GDGC2304CS18                                                           广东公采招标有限公司 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0"/>
      </w:pBdr>
      <w:rPr>
        <w:rFonts w:hint="eastAsia" w:ascii="微软雅黑" w:hAnsi="微软雅黑" w:eastAsia="微软雅黑" w:cs="微软雅黑"/>
      </w:rPr>
    </w:pPr>
    <w:r>
      <w:rPr>
        <w:rFonts w:hint="eastAsia" w:ascii="微软雅黑" w:hAnsi="微软雅黑" w:eastAsia="微软雅黑" w:cs="微软雅黑"/>
        <w:sz w:val="17"/>
        <w:szCs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21715" cy="16256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021715" cy="162560"/>
                      </a:xfrm>
                      <a:prstGeom prst="rect">
                        <a:avLst/>
                      </a:prstGeom>
                      <a:noFill/>
                      <a:ln>
                        <a:noFill/>
                      </a:ln>
                      <a:effectLst/>
                    </wps:spPr>
                    <wps:txbx>
                      <w:txbxContent>
                        <w:p>
                          <w:pPr>
                            <w:pStyle w:val="20"/>
                            <w:jc w:val="center"/>
                            <w:rPr>
                              <w:rFonts w:hint="eastAsia" w:ascii="微软雅黑" w:hAnsi="微软雅黑" w:eastAsia="微软雅黑" w:cs="微软雅黑"/>
                              <w:sz w:val="17"/>
                              <w:szCs w:val="17"/>
                            </w:rPr>
                          </w:pPr>
                          <w:r>
                            <w:rPr>
                              <w:rFonts w:hint="eastAsia" w:ascii="微软雅黑" w:hAnsi="微软雅黑" w:eastAsia="微软雅黑" w:cs="微软雅黑"/>
                              <w:sz w:val="17"/>
                              <w:szCs w:val="17"/>
                            </w:rPr>
                            <w:t xml:space="preserve">第 </w:t>
                          </w:r>
                          <w:r>
                            <w:rPr>
                              <w:rFonts w:hint="eastAsia" w:ascii="微软雅黑" w:hAnsi="微软雅黑" w:eastAsia="微软雅黑" w:cs="微软雅黑"/>
                              <w:sz w:val="17"/>
                              <w:szCs w:val="17"/>
                            </w:rPr>
                            <w:fldChar w:fldCharType="begin"/>
                          </w:r>
                          <w:r>
                            <w:rPr>
                              <w:rFonts w:hint="eastAsia" w:ascii="微软雅黑" w:hAnsi="微软雅黑" w:eastAsia="微软雅黑" w:cs="微软雅黑"/>
                              <w:sz w:val="17"/>
                              <w:szCs w:val="17"/>
                            </w:rPr>
                            <w:instrText xml:space="preserve"> PAGE  \* MERGEFORMAT </w:instrText>
                          </w:r>
                          <w:r>
                            <w:rPr>
                              <w:rFonts w:hint="eastAsia" w:ascii="微软雅黑" w:hAnsi="微软雅黑" w:eastAsia="微软雅黑" w:cs="微软雅黑"/>
                              <w:sz w:val="17"/>
                              <w:szCs w:val="17"/>
                            </w:rPr>
                            <w:fldChar w:fldCharType="separate"/>
                          </w:r>
                          <w:r>
                            <w:rPr>
                              <w:rFonts w:ascii="微软雅黑" w:hAnsi="微软雅黑" w:eastAsia="微软雅黑" w:cs="微软雅黑"/>
                              <w:sz w:val="17"/>
                              <w:szCs w:val="17"/>
                            </w:rPr>
                            <w:t>106</w:t>
                          </w:r>
                          <w:r>
                            <w:rPr>
                              <w:rFonts w:hint="eastAsia" w:ascii="微软雅黑" w:hAnsi="微软雅黑" w:eastAsia="微软雅黑" w:cs="微软雅黑"/>
                              <w:sz w:val="17"/>
                              <w:szCs w:val="17"/>
                            </w:rPr>
                            <w:fldChar w:fldCharType="end"/>
                          </w:r>
                          <w:r>
                            <w:rPr>
                              <w:rFonts w:hint="eastAsia" w:ascii="微软雅黑" w:hAnsi="微软雅黑" w:eastAsia="微软雅黑" w:cs="微软雅黑"/>
                              <w:sz w:val="17"/>
                              <w:szCs w:val="17"/>
                            </w:rPr>
                            <w:t xml:space="preserve"> 页 共 </w:t>
                          </w:r>
                          <w:r>
                            <w:rPr>
                              <w:rFonts w:hint="eastAsia" w:ascii="微软雅黑" w:hAnsi="微软雅黑" w:eastAsia="微软雅黑" w:cs="微软雅黑"/>
                              <w:sz w:val="17"/>
                              <w:szCs w:val="17"/>
                            </w:rPr>
                            <w:fldChar w:fldCharType="begin"/>
                          </w:r>
                          <w:r>
                            <w:rPr>
                              <w:rFonts w:hint="eastAsia" w:ascii="微软雅黑" w:hAnsi="微软雅黑" w:eastAsia="微软雅黑" w:cs="微软雅黑"/>
                              <w:sz w:val="17"/>
                              <w:szCs w:val="17"/>
                            </w:rPr>
                            <w:instrText xml:space="preserve"> NUMPAGES  \* MERGEFORMAT </w:instrText>
                          </w:r>
                          <w:r>
                            <w:rPr>
                              <w:rFonts w:hint="eastAsia" w:ascii="微软雅黑" w:hAnsi="微软雅黑" w:eastAsia="微软雅黑" w:cs="微软雅黑"/>
                              <w:sz w:val="17"/>
                              <w:szCs w:val="17"/>
                            </w:rPr>
                            <w:fldChar w:fldCharType="separate"/>
                          </w:r>
                          <w:r>
                            <w:rPr>
                              <w:rFonts w:ascii="微软雅黑" w:hAnsi="微软雅黑" w:eastAsia="微软雅黑" w:cs="微软雅黑"/>
                              <w:sz w:val="17"/>
                              <w:szCs w:val="17"/>
                            </w:rPr>
                            <w:t>110</w:t>
                          </w:r>
                          <w:r>
                            <w:rPr>
                              <w:rFonts w:hint="eastAsia" w:ascii="微软雅黑" w:hAnsi="微软雅黑" w:eastAsia="微软雅黑" w:cs="微软雅黑"/>
                              <w:sz w:val="17"/>
                              <w:szCs w:val="17"/>
                            </w:rPr>
                            <w:fldChar w:fldCharType="end"/>
                          </w:r>
                          <w:r>
                            <w:rPr>
                              <w:rFonts w:hint="eastAsia" w:ascii="微软雅黑" w:hAnsi="微软雅黑" w:eastAsia="微软雅黑" w:cs="微软雅黑"/>
                              <w:sz w:val="17"/>
                              <w:szCs w:val="17"/>
                            </w:rPr>
                            <w:t xml:space="preserve"> 页</w:t>
                          </w:r>
                        </w:p>
                      </w:txbxContent>
                    </wps:txbx>
                    <wps:bodyPr wrap="square" lIns="0" tIns="0" rIns="0" bIns="0" upright="0"/>
                  </wps:wsp>
                </a:graphicData>
              </a:graphic>
            </wp:anchor>
          </w:drawing>
        </mc:Choice>
        <mc:Fallback>
          <w:pict>
            <v:shape id="文本框 1" o:spid="_x0000_s1026" o:spt="202" type="#_x0000_t202" style="position:absolute;left:0pt;margin-top:0pt;height:12.8pt;width:80.45pt;mso-position-horizontal:center;mso-position-horizontal-relative:margin;z-index:251660288;mso-width-relative:page;mso-height-relative:page;" filled="f" stroked="f" coordsize="21600,21600" o:gfxdata="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Bs+LOdQAAAAEAQAADwAAAAAAAAABACAAAAAiAAAAZHJzL2Rvd25y&#10;ZXYueG1sUEsBAhQAFAAAAAgAh07iQHWlRX3JAQAAjgMAAA4AAAAAAAAAAQAgAAAAIwEAAGRycy9l&#10;Mm9Eb2MueG1sUEsFBgAAAAAGAAYAWQEAAF4FAAAAAA==&#10;">
              <v:fill on="f" focussize="0,0"/>
              <v:stroke on="f"/>
              <v:imagedata o:title=""/>
              <o:lock v:ext="edit" aspectratio="f"/>
              <v:textbox inset="0mm,0mm,0mm,0mm">
                <w:txbxContent>
                  <w:p>
                    <w:pPr>
                      <w:pStyle w:val="20"/>
                      <w:jc w:val="center"/>
                      <w:rPr>
                        <w:rFonts w:hint="eastAsia" w:ascii="微软雅黑" w:hAnsi="微软雅黑" w:eastAsia="微软雅黑" w:cs="微软雅黑"/>
                        <w:sz w:val="17"/>
                        <w:szCs w:val="17"/>
                      </w:rPr>
                    </w:pPr>
                    <w:r>
                      <w:rPr>
                        <w:rFonts w:hint="eastAsia" w:ascii="微软雅黑" w:hAnsi="微软雅黑" w:eastAsia="微软雅黑" w:cs="微软雅黑"/>
                        <w:sz w:val="17"/>
                        <w:szCs w:val="17"/>
                      </w:rPr>
                      <w:t xml:space="preserve">第 </w:t>
                    </w:r>
                    <w:r>
                      <w:rPr>
                        <w:rFonts w:hint="eastAsia" w:ascii="微软雅黑" w:hAnsi="微软雅黑" w:eastAsia="微软雅黑" w:cs="微软雅黑"/>
                        <w:sz w:val="17"/>
                        <w:szCs w:val="17"/>
                      </w:rPr>
                      <w:fldChar w:fldCharType="begin"/>
                    </w:r>
                    <w:r>
                      <w:rPr>
                        <w:rFonts w:hint="eastAsia" w:ascii="微软雅黑" w:hAnsi="微软雅黑" w:eastAsia="微软雅黑" w:cs="微软雅黑"/>
                        <w:sz w:val="17"/>
                        <w:szCs w:val="17"/>
                      </w:rPr>
                      <w:instrText xml:space="preserve"> PAGE  \* MERGEFORMAT </w:instrText>
                    </w:r>
                    <w:r>
                      <w:rPr>
                        <w:rFonts w:hint="eastAsia" w:ascii="微软雅黑" w:hAnsi="微软雅黑" w:eastAsia="微软雅黑" w:cs="微软雅黑"/>
                        <w:sz w:val="17"/>
                        <w:szCs w:val="17"/>
                      </w:rPr>
                      <w:fldChar w:fldCharType="separate"/>
                    </w:r>
                    <w:r>
                      <w:rPr>
                        <w:rFonts w:ascii="微软雅黑" w:hAnsi="微软雅黑" w:eastAsia="微软雅黑" w:cs="微软雅黑"/>
                        <w:sz w:val="17"/>
                        <w:szCs w:val="17"/>
                      </w:rPr>
                      <w:t>106</w:t>
                    </w:r>
                    <w:r>
                      <w:rPr>
                        <w:rFonts w:hint="eastAsia" w:ascii="微软雅黑" w:hAnsi="微软雅黑" w:eastAsia="微软雅黑" w:cs="微软雅黑"/>
                        <w:sz w:val="17"/>
                        <w:szCs w:val="17"/>
                      </w:rPr>
                      <w:fldChar w:fldCharType="end"/>
                    </w:r>
                    <w:r>
                      <w:rPr>
                        <w:rFonts w:hint="eastAsia" w:ascii="微软雅黑" w:hAnsi="微软雅黑" w:eastAsia="微软雅黑" w:cs="微软雅黑"/>
                        <w:sz w:val="17"/>
                        <w:szCs w:val="17"/>
                      </w:rPr>
                      <w:t xml:space="preserve"> 页 共 </w:t>
                    </w:r>
                    <w:r>
                      <w:rPr>
                        <w:rFonts w:hint="eastAsia" w:ascii="微软雅黑" w:hAnsi="微软雅黑" w:eastAsia="微软雅黑" w:cs="微软雅黑"/>
                        <w:sz w:val="17"/>
                        <w:szCs w:val="17"/>
                      </w:rPr>
                      <w:fldChar w:fldCharType="begin"/>
                    </w:r>
                    <w:r>
                      <w:rPr>
                        <w:rFonts w:hint="eastAsia" w:ascii="微软雅黑" w:hAnsi="微软雅黑" w:eastAsia="微软雅黑" w:cs="微软雅黑"/>
                        <w:sz w:val="17"/>
                        <w:szCs w:val="17"/>
                      </w:rPr>
                      <w:instrText xml:space="preserve"> NUMPAGES  \* MERGEFORMAT </w:instrText>
                    </w:r>
                    <w:r>
                      <w:rPr>
                        <w:rFonts w:hint="eastAsia" w:ascii="微软雅黑" w:hAnsi="微软雅黑" w:eastAsia="微软雅黑" w:cs="微软雅黑"/>
                        <w:sz w:val="17"/>
                        <w:szCs w:val="17"/>
                      </w:rPr>
                      <w:fldChar w:fldCharType="separate"/>
                    </w:r>
                    <w:r>
                      <w:rPr>
                        <w:rFonts w:ascii="微软雅黑" w:hAnsi="微软雅黑" w:eastAsia="微软雅黑" w:cs="微软雅黑"/>
                        <w:sz w:val="17"/>
                        <w:szCs w:val="17"/>
                      </w:rPr>
                      <w:t>110</w:t>
                    </w:r>
                    <w:r>
                      <w:rPr>
                        <w:rFonts w:hint="eastAsia" w:ascii="微软雅黑" w:hAnsi="微软雅黑" w:eastAsia="微软雅黑" w:cs="微软雅黑"/>
                        <w:sz w:val="17"/>
                        <w:szCs w:val="17"/>
                      </w:rPr>
                      <w:fldChar w:fldCharType="end"/>
                    </w:r>
                    <w:r>
                      <w:rPr>
                        <w:rFonts w:hint="eastAsia" w:ascii="微软雅黑" w:hAnsi="微软雅黑" w:eastAsia="微软雅黑" w:cs="微软雅黑"/>
                        <w:sz w:val="17"/>
                        <w:szCs w:val="17"/>
                      </w:rPr>
                      <w:t xml:space="preserve"> 页</w:t>
                    </w:r>
                  </w:p>
                </w:txbxContent>
              </v:textbox>
            </v:shape>
          </w:pict>
        </mc:Fallback>
      </mc:AlternateContent>
    </w:r>
    <w:r>
      <w:rPr>
        <w:rFonts w:hint="eastAsia" w:ascii="微软雅黑" w:hAnsi="微软雅黑" w:eastAsia="微软雅黑" w:cs="微软雅黑"/>
        <w:sz w:val="17"/>
        <w:szCs w:val="17"/>
      </w:rPr>
      <w:t>项目编号: GDGC2304CS18                                                           广东公采招标有限公司 编制</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0"/>
      </w:pBdr>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323340" cy="147955"/>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323340" cy="147955"/>
                      </a:xfrm>
                      <a:prstGeom prst="rect">
                        <a:avLst/>
                      </a:prstGeom>
                      <a:noFill/>
                      <a:ln>
                        <a:noFill/>
                      </a:ln>
                      <a:effectLst/>
                    </wps:spPr>
                    <wps:txbx>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104</w:t>
                          </w:r>
                          <w:r>
                            <w:rPr>
                              <w:rFonts w:hint="eastAsia"/>
                            </w:rPr>
                            <w:fldChar w:fldCharType="end"/>
                          </w:r>
                          <w:r>
                            <w:rPr>
                              <w:rFonts w:hint="eastAsia"/>
                            </w:rPr>
                            <w:t xml:space="preserve"> 页</w:t>
                          </w:r>
                        </w:p>
                      </w:txbxContent>
                    </wps:txbx>
                    <wps:bodyPr vert="horz" wrap="square" lIns="0" tIns="0" rIns="0" bIns="0" anchor="t" upright="0">
                      <a:spAutoFit/>
                    </wps:bodyPr>
                  </wps:wsp>
                </a:graphicData>
              </a:graphic>
            </wp:anchor>
          </w:drawing>
        </mc:Choice>
        <mc:Fallback>
          <w:pict>
            <v:shape id="文本框 13" o:spid="_x0000_s1026" o:spt="202" type="#_x0000_t202" style="position:absolute;left:0pt;margin-top:0pt;height:11.65pt;width:104.2pt;mso-position-horizontal:center;mso-position-horizontal-relative:margin;z-index:251664384;mso-width-relative:page;mso-height-relative:page;" filled="f" stroked="f" coordsize="21600,21600" o:gfxdata="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1kJjh0gAAAAQBAAAP&#10;AAAAAAAAAAEAIAAAACIAAABkcnMvZG93bnJldi54bWxQSwECFAAUAAAACACHTuJAPZw26eUBAADA&#10;AwAADgAAAAAAAAABACAAAAAhAQAAZHJzL2Uyb0RvYy54bWxQSwUGAAAAAAYABgBZAQAAeAUAAAAA&#10;">
              <v:fill on="f" focussize="0,0"/>
              <v:stroke on="f"/>
              <v:imagedata o:title=""/>
              <o:lock v:ext="edit" aspectratio="f"/>
              <v:textbox inset="0mm,0mm,0mm,0mm" style="mso-fit-shape-to-text:t;">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104</w:t>
                    </w:r>
                    <w:r>
                      <w:rPr>
                        <w:rFonts w:hint="eastAsia"/>
                      </w:rPr>
                      <w:fldChar w:fldCharType="end"/>
                    </w:r>
                    <w:r>
                      <w:rPr>
                        <w:rFonts w:hint="eastAsia"/>
                      </w:rPr>
                      <w:t xml:space="preserve"> 页</w:t>
                    </w:r>
                  </w:p>
                </w:txbxContent>
              </v:textbox>
            </v:shape>
          </w:pict>
        </mc:Fallback>
      </mc:AlternateContent>
    </w:r>
    <w:r>
      <w:rPr>
        <w:rFonts w:hint="eastAsia"/>
      </w:rPr>
      <w:t>项目编号:GDGC2304CS18</w:t>
    </w:r>
    <w:r>
      <w:t xml:space="preserve"> </w:t>
    </w:r>
    <w:r>
      <w:rPr>
        <w:rFonts w:hint="eastAsia"/>
      </w:rPr>
      <w:t xml:space="preserve">                 </w:t>
    </w:r>
    <w:r>
      <w:t xml:space="preserve">   </w:t>
    </w:r>
    <w:r>
      <w:rPr>
        <w:rFonts w:hint="eastAsia"/>
      </w:rPr>
      <w:t xml:space="preserve">                               </w:t>
    </w:r>
    <w:r>
      <w:t xml:space="preserve"> </w:t>
    </w:r>
    <w:r>
      <w:rPr>
        <w:rFonts w:hint="eastAsia"/>
      </w:rPr>
      <w:t>广东公采招标有限公司 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0"/>
      </w:pBdr>
      <w:tabs>
        <w:tab w:val="clear" w:pos="4153"/>
        <w:tab w:val="clear" w:pos="8306"/>
      </w:tabs>
      <w:rPr>
        <w:rFonts w:hint="eastAsia" w:eastAsia="宋体"/>
      </w:rPr>
    </w:pPr>
    <w:r>
      <w:rPr>
        <w:rFonts w:hint="eastAsia"/>
      </w:rPr>
      <w:drawing>
        <wp:inline distT="0" distB="0" distL="114300" distR="114300">
          <wp:extent cx="676910" cy="164465"/>
          <wp:effectExtent l="0" t="0" r="8890" b="6985"/>
          <wp:docPr id="10" name="图片 3" descr="page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pagehead"/>
                  <pic:cNvPicPr>
                    <a:picLocks noChangeAspect="1"/>
                  </pic:cNvPicPr>
                </pic:nvPicPr>
                <pic:blipFill>
                  <a:blip r:embed="rId1"/>
                  <a:stretch>
                    <a:fillRect/>
                  </a:stretch>
                </pic:blipFill>
                <pic:spPr>
                  <a:xfrm>
                    <a:off x="0" y="0"/>
                    <a:ext cx="676910" cy="164465"/>
                  </a:xfrm>
                  <a:prstGeom prst="rect">
                    <a:avLst/>
                  </a:prstGeom>
                  <a:noFill/>
                  <a:ln>
                    <a:noFill/>
                  </a:ln>
                </pic:spPr>
              </pic:pic>
            </a:graphicData>
          </a:graphic>
        </wp:inline>
      </w:drawing>
    </w:r>
    <w:r>
      <w:rPr>
        <w:rFonts w:hint="eastAsia"/>
      </w:rPr>
      <w:tab/>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广东省广州市越秀区消防救援大队2023年消防车辆维修和保养服务采购项目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0"/>
      </w:pBdr>
      <w:rPr>
        <w:rFonts w:hint="eastAsia" w:eastAsia="宋体"/>
      </w:rPr>
    </w:pPr>
    <w:r>
      <w:rPr>
        <w:rFonts w:hint="eastAsia"/>
      </w:rPr>
      <w:drawing>
        <wp:inline distT="0" distB="0" distL="114300" distR="114300">
          <wp:extent cx="724535" cy="164465"/>
          <wp:effectExtent l="0" t="0" r="18415" b="6985"/>
          <wp:docPr id="9" name="图片 2" descr="page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pagehead"/>
                  <pic:cNvPicPr>
                    <a:picLocks noChangeAspect="1"/>
                  </pic:cNvPicPr>
                </pic:nvPicPr>
                <pic:blipFill>
                  <a:blip r:embed="rId1"/>
                  <a:stretch>
                    <a:fillRect/>
                  </a:stretch>
                </pic:blipFill>
                <pic:spPr>
                  <a:xfrm>
                    <a:off x="0" y="0"/>
                    <a:ext cx="724535" cy="164465"/>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t xml:space="preserve">     </w:t>
    </w:r>
    <w:r>
      <w:rPr>
        <w:rFonts w:hint="eastAsia"/>
      </w:rPr>
      <w:t>广东省博物馆(广州鲁迅纪念馆)“粤博越有才”文博培训项目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0"/>
      </w:pBdr>
      <w:tabs>
        <w:tab w:val="left" w:pos="581"/>
      </w:tabs>
      <w:rPr>
        <w:rFonts w:hint="eastAsia" w:eastAsia="宋体"/>
      </w:rPr>
    </w:pPr>
    <w:r>
      <w:rPr>
        <w:rFonts w:hint="eastAsia"/>
      </w:rPr>
      <w:drawing>
        <wp:inline distT="0" distB="0" distL="114300" distR="114300">
          <wp:extent cx="676910" cy="164465"/>
          <wp:effectExtent l="0" t="0" r="8890" b="6985"/>
          <wp:docPr id="12" name="图片 4" descr="page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pagehead"/>
                  <pic:cNvPicPr>
                    <a:picLocks noChangeAspect="1"/>
                  </pic:cNvPicPr>
                </pic:nvPicPr>
                <pic:blipFill>
                  <a:blip r:embed="rId1"/>
                  <a:stretch>
                    <a:fillRect/>
                  </a:stretch>
                </pic:blipFill>
                <pic:spPr>
                  <a:xfrm>
                    <a:off x="0" y="0"/>
                    <a:ext cx="676910" cy="164465"/>
                  </a:xfrm>
                  <a:prstGeom prst="rect">
                    <a:avLst/>
                  </a:prstGeom>
                  <a:noFill/>
                  <a:ln>
                    <a:noFill/>
                  </a:ln>
                </pic:spPr>
              </pic:pic>
            </a:graphicData>
          </a:graphic>
        </wp:inline>
      </w:drawing>
    </w:r>
    <w:r>
      <w:rPr>
        <w:rFonts w:hint="eastAsia"/>
      </w:rPr>
      <w:tab/>
    </w:r>
    <w:r>
      <w:rPr>
        <w:rFonts w:hint="eastAsia"/>
      </w:rPr>
      <w:t xml:space="preserve">        </w:t>
    </w:r>
    <w:r>
      <w:rPr>
        <w:rFonts w:hint="eastAsia"/>
        <w:lang w:val="en-US" w:eastAsia="zh-CN"/>
      </w:rPr>
      <w:t xml:space="preserve">        </w:t>
    </w:r>
    <w:r>
      <w:rPr>
        <w:rFonts w:hint="eastAsia"/>
      </w:rPr>
      <w:t xml:space="preserve">       广东省广州市越秀区消防救援大队2023年消防车辆维修和保养服务采购项目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0"/>
      </w:pBdr>
      <w:rPr>
        <w:rFonts w:hint="eastAsia" w:eastAsia="宋体"/>
      </w:rPr>
    </w:pPr>
    <w:r>
      <w:rPr>
        <w:rFonts w:hint="eastAsia"/>
      </w:rPr>
      <w:drawing>
        <wp:inline distT="0" distB="0" distL="114300" distR="114300">
          <wp:extent cx="724535" cy="164465"/>
          <wp:effectExtent l="0" t="0" r="18415" b="6985"/>
          <wp:docPr id="13" name="图片 5" descr="page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pagehead"/>
                  <pic:cNvPicPr>
                    <a:picLocks noChangeAspect="1"/>
                  </pic:cNvPicPr>
                </pic:nvPicPr>
                <pic:blipFill>
                  <a:blip r:embed="rId1"/>
                  <a:stretch>
                    <a:fillRect/>
                  </a:stretch>
                </pic:blipFill>
                <pic:spPr>
                  <a:xfrm>
                    <a:off x="0" y="0"/>
                    <a:ext cx="724535" cy="164465"/>
                  </a:xfrm>
                  <a:prstGeom prst="rect">
                    <a:avLst/>
                  </a:prstGeom>
                  <a:noFill/>
                  <a:ln>
                    <a:noFill/>
                  </a:ln>
                </pic:spPr>
              </pic:pic>
            </a:graphicData>
          </a:graphic>
        </wp:inline>
      </w:drawing>
    </w:r>
    <w:r>
      <w:rPr>
        <w:rFonts w:hint="eastAsia"/>
      </w:rPr>
      <w:t xml:space="preserve">        </w:t>
    </w:r>
    <w:r>
      <w:t xml:space="preserve">   </w:t>
    </w:r>
    <w:r>
      <w:rPr>
        <w:rFonts w:hint="eastAsia"/>
      </w:rPr>
      <w:t>广东省博物馆(广州鲁迅纪念馆)“粤博越有才”文博培训项目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711E1"/>
    <w:multiLevelType w:val="singleLevel"/>
    <w:tmpl w:val="8A7711E1"/>
    <w:lvl w:ilvl="0" w:tentative="0">
      <w:start w:val="1"/>
      <w:numFmt w:val="chineseCounting"/>
      <w:suff w:val="nothing"/>
      <w:lvlText w:val="%1、"/>
      <w:lvlJc w:val="left"/>
      <w:rPr>
        <w:rFonts w:hint="eastAsia"/>
      </w:rPr>
    </w:lvl>
  </w:abstractNum>
  <w:abstractNum w:abstractNumId="1">
    <w:nsid w:val="92B33ECA"/>
    <w:multiLevelType w:val="singleLevel"/>
    <w:tmpl w:val="92B33ECA"/>
    <w:lvl w:ilvl="0" w:tentative="0">
      <w:start w:val="1"/>
      <w:numFmt w:val="decimal"/>
      <w:lvlText w:val="(%1)"/>
      <w:lvlJc w:val="left"/>
      <w:pPr>
        <w:ind w:left="425" w:hanging="425"/>
      </w:pPr>
      <w:rPr>
        <w:rFonts w:hint="default"/>
      </w:rPr>
    </w:lvl>
  </w:abstractNum>
  <w:abstractNum w:abstractNumId="2">
    <w:nsid w:val="9BAC412B"/>
    <w:multiLevelType w:val="singleLevel"/>
    <w:tmpl w:val="9BAC412B"/>
    <w:lvl w:ilvl="0" w:tentative="0">
      <w:start w:val="1"/>
      <w:numFmt w:val="decimal"/>
      <w:suff w:val="nothing"/>
      <w:lvlText w:val="%1．"/>
      <w:lvlJc w:val="left"/>
      <w:pPr>
        <w:ind w:left="0" w:firstLine="400"/>
      </w:pPr>
      <w:rPr>
        <w:rFonts w:hint="default"/>
      </w:rPr>
    </w:lvl>
  </w:abstractNum>
  <w:abstractNum w:abstractNumId="3">
    <w:nsid w:val="9DB594BF"/>
    <w:multiLevelType w:val="multilevel"/>
    <w:tmpl w:val="9DB594BF"/>
    <w:lvl w:ilvl="0" w:tentative="0">
      <w:start w:val="1"/>
      <w:numFmt w:val="decimal"/>
      <w:lvlText w:val="%1."/>
      <w:lvlJc w:val="left"/>
      <w:pPr>
        <w:ind w:left="595"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A58FC1EF"/>
    <w:multiLevelType w:val="singleLevel"/>
    <w:tmpl w:val="A58FC1EF"/>
    <w:lvl w:ilvl="0" w:tentative="0">
      <w:start w:val="1"/>
      <w:numFmt w:val="decimal"/>
      <w:lvlText w:val="%1."/>
      <w:lvlJc w:val="left"/>
      <w:pPr>
        <w:ind w:left="425" w:hanging="425"/>
      </w:pPr>
      <w:rPr>
        <w:rFonts w:hint="default"/>
      </w:rPr>
    </w:lvl>
  </w:abstractNum>
  <w:abstractNum w:abstractNumId="5">
    <w:nsid w:val="A85E9163"/>
    <w:multiLevelType w:val="singleLevel"/>
    <w:tmpl w:val="A85E9163"/>
    <w:lvl w:ilvl="0" w:tentative="0">
      <w:start w:val="1"/>
      <w:numFmt w:val="decimal"/>
      <w:suff w:val="space"/>
      <w:lvlText w:val="(%1)"/>
      <w:lvlJc w:val="left"/>
    </w:lvl>
  </w:abstractNum>
  <w:abstractNum w:abstractNumId="6">
    <w:nsid w:val="A969AFF3"/>
    <w:multiLevelType w:val="singleLevel"/>
    <w:tmpl w:val="A969AFF3"/>
    <w:lvl w:ilvl="0" w:tentative="0">
      <w:start w:val="1"/>
      <w:numFmt w:val="decimal"/>
      <w:lvlText w:val="%1."/>
      <w:lvlJc w:val="left"/>
      <w:pPr>
        <w:ind w:left="425" w:hanging="425"/>
      </w:pPr>
      <w:rPr>
        <w:rFonts w:hint="default"/>
      </w:rPr>
    </w:lvl>
  </w:abstractNum>
  <w:abstractNum w:abstractNumId="7">
    <w:nsid w:val="ACEBFB5C"/>
    <w:multiLevelType w:val="singleLevel"/>
    <w:tmpl w:val="ACEBFB5C"/>
    <w:lvl w:ilvl="0" w:tentative="0">
      <w:start w:val="1"/>
      <w:numFmt w:val="decimal"/>
      <w:lvlText w:val="(%1)"/>
      <w:lvlJc w:val="left"/>
      <w:pPr>
        <w:ind w:left="425" w:hanging="425"/>
      </w:pPr>
      <w:rPr>
        <w:rFonts w:hint="default"/>
        <w:sz w:val="21"/>
        <w:szCs w:val="21"/>
      </w:rPr>
    </w:lvl>
  </w:abstractNum>
  <w:abstractNum w:abstractNumId="8">
    <w:nsid w:val="AD87A420"/>
    <w:multiLevelType w:val="singleLevel"/>
    <w:tmpl w:val="AD87A420"/>
    <w:lvl w:ilvl="0" w:tentative="0">
      <w:start w:val="1"/>
      <w:numFmt w:val="decimal"/>
      <w:lvlText w:val="%1."/>
      <w:lvlJc w:val="left"/>
      <w:pPr>
        <w:ind w:left="425" w:hanging="425"/>
      </w:pPr>
      <w:rPr>
        <w:rFonts w:hint="default"/>
      </w:rPr>
    </w:lvl>
  </w:abstractNum>
  <w:abstractNum w:abstractNumId="9">
    <w:nsid w:val="B2C3D2B2"/>
    <w:multiLevelType w:val="singleLevel"/>
    <w:tmpl w:val="B2C3D2B2"/>
    <w:lvl w:ilvl="0" w:tentative="0">
      <w:start w:val="1"/>
      <w:numFmt w:val="decimal"/>
      <w:lvlText w:val="%1."/>
      <w:lvlJc w:val="left"/>
      <w:pPr>
        <w:ind w:left="425" w:hanging="425"/>
      </w:pPr>
      <w:rPr>
        <w:rFonts w:hint="default"/>
      </w:rPr>
    </w:lvl>
  </w:abstractNum>
  <w:abstractNum w:abstractNumId="10">
    <w:nsid w:val="B3599B43"/>
    <w:multiLevelType w:val="singleLevel"/>
    <w:tmpl w:val="B3599B43"/>
    <w:lvl w:ilvl="0" w:tentative="0">
      <w:start w:val="1"/>
      <w:numFmt w:val="decimal"/>
      <w:suff w:val="space"/>
      <w:lvlText w:val="%1."/>
      <w:lvlJc w:val="left"/>
    </w:lvl>
  </w:abstractNum>
  <w:abstractNum w:abstractNumId="11">
    <w:nsid w:val="B4DB28A7"/>
    <w:multiLevelType w:val="multilevel"/>
    <w:tmpl w:val="B4DB28A7"/>
    <w:lvl w:ilvl="0" w:tentative="0">
      <w:start w:val="1"/>
      <w:numFmt w:val="decimal"/>
      <w:lvlText w:val="36.%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B640E158"/>
    <w:multiLevelType w:val="singleLevel"/>
    <w:tmpl w:val="B640E158"/>
    <w:lvl w:ilvl="0" w:tentative="0">
      <w:start w:val="1"/>
      <w:numFmt w:val="decimal"/>
      <w:suff w:val="nothing"/>
      <w:lvlText w:val="%1．"/>
      <w:lvlJc w:val="left"/>
      <w:pPr>
        <w:ind w:left="0" w:firstLine="400"/>
      </w:pPr>
      <w:rPr>
        <w:rFonts w:hint="default"/>
      </w:rPr>
    </w:lvl>
  </w:abstractNum>
  <w:abstractNum w:abstractNumId="13">
    <w:nsid w:val="BE286C7C"/>
    <w:multiLevelType w:val="singleLevel"/>
    <w:tmpl w:val="BE286C7C"/>
    <w:lvl w:ilvl="0" w:tentative="0">
      <w:start w:val="1"/>
      <w:numFmt w:val="decimal"/>
      <w:lvlText w:val="%1."/>
      <w:lvlJc w:val="left"/>
      <w:pPr>
        <w:ind w:left="425" w:hanging="425"/>
      </w:pPr>
      <w:rPr>
        <w:rFonts w:hint="default"/>
      </w:rPr>
    </w:lvl>
  </w:abstractNum>
  <w:abstractNum w:abstractNumId="14">
    <w:nsid w:val="CBB3F4A8"/>
    <w:multiLevelType w:val="singleLevel"/>
    <w:tmpl w:val="CBB3F4A8"/>
    <w:lvl w:ilvl="0" w:tentative="0">
      <w:start w:val="1"/>
      <w:numFmt w:val="decimal"/>
      <w:lvlText w:val="%1."/>
      <w:lvlJc w:val="left"/>
      <w:pPr>
        <w:ind w:left="425" w:hanging="425"/>
      </w:pPr>
      <w:rPr>
        <w:rFonts w:hint="default"/>
      </w:rPr>
    </w:lvl>
  </w:abstractNum>
  <w:abstractNum w:abstractNumId="15">
    <w:nsid w:val="CECAF69F"/>
    <w:multiLevelType w:val="singleLevel"/>
    <w:tmpl w:val="CECAF69F"/>
    <w:lvl w:ilvl="0" w:tentative="0">
      <w:start w:val="1"/>
      <w:numFmt w:val="chineseCounting"/>
      <w:suff w:val="nothing"/>
      <w:lvlText w:val="%1、"/>
      <w:lvlJc w:val="left"/>
      <w:pPr>
        <w:ind w:left="481" w:firstLine="0"/>
      </w:pPr>
      <w:rPr>
        <w:rFonts w:hint="eastAsia"/>
      </w:rPr>
    </w:lvl>
  </w:abstractNum>
  <w:abstractNum w:abstractNumId="16">
    <w:nsid w:val="D47A9FEA"/>
    <w:multiLevelType w:val="singleLevel"/>
    <w:tmpl w:val="D47A9FEA"/>
    <w:lvl w:ilvl="0" w:tentative="0">
      <w:start w:val="1"/>
      <w:numFmt w:val="decimal"/>
      <w:suff w:val="space"/>
      <w:lvlText w:val="%1."/>
      <w:lvlJc w:val="left"/>
    </w:lvl>
  </w:abstractNum>
  <w:abstractNum w:abstractNumId="17">
    <w:nsid w:val="D58B1F79"/>
    <w:multiLevelType w:val="singleLevel"/>
    <w:tmpl w:val="D58B1F79"/>
    <w:lvl w:ilvl="0" w:tentative="0">
      <w:start w:val="1"/>
      <w:numFmt w:val="decimal"/>
      <w:lvlText w:val="%1."/>
      <w:lvlJc w:val="left"/>
      <w:pPr>
        <w:ind w:left="420" w:hanging="420"/>
      </w:pPr>
      <w:rPr>
        <w:rFonts w:hint="default"/>
      </w:rPr>
    </w:lvl>
  </w:abstractNum>
  <w:abstractNum w:abstractNumId="18">
    <w:nsid w:val="D794AE48"/>
    <w:multiLevelType w:val="singleLevel"/>
    <w:tmpl w:val="D794AE48"/>
    <w:lvl w:ilvl="0" w:tentative="0">
      <w:start w:val="1"/>
      <w:numFmt w:val="decimal"/>
      <w:lvlText w:val="(%1)"/>
      <w:lvlJc w:val="left"/>
      <w:pPr>
        <w:tabs>
          <w:tab w:val="left" w:pos="312"/>
        </w:tabs>
      </w:pPr>
    </w:lvl>
  </w:abstractNum>
  <w:abstractNum w:abstractNumId="19">
    <w:nsid w:val="D936F4A6"/>
    <w:multiLevelType w:val="multilevel"/>
    <w:tmpl w:val="D936F4A6"/>
    <w:lvl w:ilvl="0" w:tentative="0">
      <w:start w:val="1"/>
      <w:numFmt w:val="decimal"/>
      <w:lvlText w:val="31.%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0">
    <w:nsid w:val="E225DED9"/>
    <w:multiLevelType w:val="multilevel"/>
    <w:tmpl w:val="E225DED9"/>
    <w:lvl w:ilvl="0" w:tentative="0">
      <w:start w:val="1"/>
      <w:numFmt w:val="decimal"/>
      <w:lvlText w:val="4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1">
    <w:nsid w:val="E398495F"/>
    <w:multiLevelType w:val="multilevel"/>
    <w:tmpl w:val="E398495F"/>
    <w:lvl w:ilvl="0" w:tentative="0">
      <w:start w:val="1"/>
      <w:numFmt w:val="decimal"/>
      <w:lvlText w:val="35.%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2">
    <w:nsid w:val="E5A094FE"/>
    <w:multiLevelType w:val="singleLevel"/>
    <w:tmpl w:val="E5A094FE"/>
    <w:lvl w:ilvl="0" w:tentative="0">
      <w:start w:val="1"/>
      <w:numFmt w:val="decimal"/>
      <w:suff w:val="space"/>
      <w:lvlText w:val="%1."/>
      <w:lvlJc w:val="left"/>
    </w:lvl>
  </w:abstractNum>
  <w:abstractNum w:abstractNumId="23">
    <w:nsid w:val="EC1755F2"/>
    <w:multiLevelType w:val="singleLevel"/>
    <w:tmpl w:val="EC1755F2"/>
    <w:lvl w:ilvl="0" w:tentative="0">
      <w:start w:val="1"/>
      <w:numFmt w:val="bullet"/>
      <w:lvlText w:val=""/>
      <w:lvlJc w:val="left"/>
      <w:pPr>
        <w:ind w:left="420" w:hanging="420"/>
      </w:pPr>
      <w:rPr>
        <w:rFonts w:hint="default" w:ascii="Wingdings" w:hAnsi="Wingdings"/>
      </w:rPr>
    </w:lvl>
  </w:abstractNum>
  <w:abstractNum w:abstractNumId="24">
    <w:nsid w:val="F34AE083"/>
    <w:multiLevelType w:val="singleLevel"/>
    <w:tmpl w:val="F34AE083"/>
    <w:lvl w:ilvl="0" w:tentative="0">
      <w:start w:val="1"/>
      <w:numFmt w:val="decimal"/>
      <w:suff w:val="nothing"/>
      <w:lvlText w:val="%1．"/>
      <w:lvlJc w:val="left"/>
      <w:pPr>
        <w:ind w:left="0" w:firstLine="400"/>
      </w:pPr>
      <w:rPr>
        <w:rFonts w:hint="default"/>
      </w:rPr>
    </w:lvl>
  </w:abstractNum>
  <w:abstractNum w:abstractNumId="25">
    <w:nsid w:val="F6ABD212"/>
    <w:multiLevelType w:val="singleLevel"/>
    <w:tmpl w:val="F6ABD212"/>
    <w:lvl w:ilvl="0" w:tentative="0">
      <w:start w:val="1"/>
      <w:numFmt w:val="decimal"/>
      <w:lvlText w:val="%1."/>
      <w:lvlJc w:val="left"/>
      <w:pPr>
        <w:ind w:left="425" w:hanging="425"/>
      </w:pPr>
      <w:rPr>
        <w:rFonts w:hint="default"/>
      </w:rPr>
    </w:lvl>
  </w:abstractNum>
  <w:abstractNum w:abstractNumId="26">
    <w:nsid w:val="F6F34225"/>
    <w:multiLevelType w:val="singleLevel"/>
    <w:tmpl w:val="F6F34225"/>
    <w:lvl w:ilvl="0" w:tentative="0">
      <w:start w:val="1"/>
      <w:numFmt w:val="decimal"/>
      <w:suff w:val="nothing"/>
      <w:lvlText w:val="%1．"/>
      <w:lvlJc w:val="left"/>
      <w:pPr>
        <w:ind w:left="0" w:firstLine="400"/>
      </w:pPr>
      <w:rPr>
        <w:rFonts w:hint="default"/>
        <w:b w:val="0"/>
        <w:bCs w:val="0"/>
      </w:rPr>
    </w:lvl>
  </w:abstractNum>
  <w:abstractNum w:abstractNumId="27">
    <w:nsid w:val="FBDEF52B"/>
    <w:multiLevelType w:val="singleLevel"/>
    <w:tmpl w:val="FBDEF52B"/>
    <w:lvl w:ilvl="0" w:tentative="0">
      <w:start w:val="1"/>
      <w:numFmt w:val="decimal"/>
      <w:lvlText w:val="%1."/>
      <w:lvlJc w:val="left"/>
      <w:pPr>
        <w:ind w:left="425" w:hanging="425"/>
      </w:pPr>
      <w:rPr>
        <w:rFonts w:hint="default"/>
      </w:rPr>
    </w:lvl>
  </w:abstractNum>
  <w:abstractNum w:abstractNumId="28">
    <w:nsid w:val="0000000E"/>
    <w:multiLevelType w:val="multilevel"/>
    <w:tmpl w:val="0000000E"/>
    <w:lvl w:ilvl="0" w:tentative="0">
      <w:start w:val="1"/>
      <w:numFmt w:val="japaneseCounting"/>
      <w:lvlText w:val="%1、"/>
      <w:lvlJc w:val="left"/>
      <w:pPr>
        <w:tabs>
          <w:tab w:val="left" w:pos="962"/>
        </w:tabs>
        <w:ind w:left="962" w:hanging="480"/>
      </w:pPr>
      <w:rPr>
        <w:rFonts w:hint="default"/>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846"/>
        </w:tabs>
        <w:ind w:left="846"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29">
    <w:nsid w:val="0000008D"/>
    <w:multiLevelType w:val="multilevel"/>
    <w:tmpl w:val="0000008D"/>
    <w:lvl w:ilvl="0" w:tentative="0">
      <w:start w:val="1"/>
      <w:numFmt w:val="decimal"/>
      <w:suff w:val="nothing"/>
      <w:lvlText w:val="%1、"/>
      <w:lvlJc w:val="left"/>
    </w:lvl>
    <w:lvl w:ilvl="1" w:tentative="0">
      <w:start w:val="1"/>
      <w:numFmt w:val="none"/>
      <w:lvlText w:val=""/>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0">
    <w:nsid w:val="003A63E1"/>
    <w:multiLevelType w:val="multilevel"/>
    <w:tmpl w:val="003A63E1"/>
    <w:lvl w:ilvl="0" w:tentative="0">
      <w:start w:val="1"/>
      <w:numFmt w:val="decimal"/>
      <w:lvlText w:val="%1."/>
      <w:lvlJc w:val="left"/>
      <w:pPr>
        <w:ind w:left="840" w:hanging="420"/>
      </w:pPr>
      <w:rPr>
        <w:rFonts w:hint="eastAsia" w:eastAsia="宋体"/>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018A5194"/>
    <w:multiLevelType w:val="multilevel"/>
    <w:tmpl w:val="018A5194"/>
    <w:lvl w:ilvl="0" w:tentative="0">
      <w:start w:val="1"/>
      <w:numFmt w:val="decimal"/>
      <w:lvlText w:val="43.%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2">
    <w:nsid w:val="026A5249"/>
    <w:multiLevelType w:val="multilevel"/>
    <w:tmpl w:val="026A5249"/>
    <w:lvl w:ilvl="0" w:tentative="0">
      <w:start w:val="1"/>
      <w:numFmt w:val="none"/>
      <w:lvlText w:val="34."/>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4."/>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3">
    <w:nsid w:val="03614DE3"/>
    <w:multiLevelType w:val="multilevel"/>
    <w:tmpl w:val="03614DE3"/>
    <w:lvl w:ilvl="0" w:tentative="0">
      <w:start w:val="1"/>
      <w:numFmt w:val="none"/>
      <w:lvlText w:val="25.8"/>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4">
    <w:nsid w:val="03BB51DD"/>
    <w:multiLevelType w:val="multilevel"/>
    <w:tmpl w:val="03BB51DD"/>
    <w:lvl w:ilvl="0" w:tentative="0">
      <w:start w:val="1"/>
      <w:numFmt w:val="none"/>
      <w:lvlText w:val="36.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37."/>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5">
    <w:nsid w:val="043217E5"/>
    <w:multiLevelType w:val="multilevel"/>
    <w:tmpl w:val="043217E5"/>
    <w:lvl w:ilvl="0" w:tentative="0">
      <w:start w:val="1"/>
      <w:numFmt w:val="none"/>
      <w:lvlText w:val="22."/>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6">
    <w:nsid w:val="079C2A34"/>
    <w:multiLevelType w:val="singleLevel"/>
    <w:tmpl w:val="079C2A34"/>
    <w:lvl w:ilvl="0" w:tentative="0">
      <w:start w:val="2"/>
      <w:numFmt w:val="chineseCounting"/>
      <w:suff w:val="space"/>
      <w:lvlText w:val="第%1章"/>
      <w:lvlJc w:val="left"/>
      <w:rPr>
        <w:rFonts w:hint="eastAsia"/>
      </w:rPr>
    </w:lvl>
  </w:abstractNum>
  <w:abstractNum w:abstractNumId="37">
    <w:nsid w:val="0A406128"/>
    <w:multiLevelType w:val="multilevel"/>
    <w:tmpl w:val="0A406128"/>
    <w:lvl w:ilvl="0" w:tentative="0">
      <w:start w:val="1"/>
      <w:numFmt w:val="none"/>
      <w:lvlText w:val="29."/>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8">
    <w:nsid w:val="0B4D4B58"/>
    <w:multiLevelType w:val="singleLevel"/>
    <w:tmpl w:val="0B4D4B58"/>
    <w:lvl w:ilvl="0" w:tentative="0">
      <w:start w:val="1"/>
      <w:numFmt w:val="chineseCounting"/>
      <w:suff w:val="nothing"/>
      <w:lvlText w:val="（%1）"/>
      <w:lvlJc w:val="left"/>
      <w:pPr>
        <w:ind w:left="0" w:firstLine="420"/>
      </w:pPr>
      <w:rPr>
        <w:rFonts w:hint="eastAsia"/>
      </w:rPr>
    </w:lvl>
  </w:abstractNum>
  <w:abstractNum w:abstractNumId="39">
    <w:nsid w:val="0C4317F6"/>
    <w:multiLevelType w:val="multilevel"/>
    <w:tmpl w:val="0C4317F6"/>
    <w:lvl w:ilvl="0" w:tentative="0">
      <w:start w:val="1"/>
      <w:numFmt w:val="none"/>
      <w:lvlText w:val="27.1"/>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0">
    <w:nsid w:val="104D6286"/>
    <w:multiLevelType w:val="singleLevel"/>
    <w:tmpl w:val="104D6286"/>
    <w:lvl w:ilvl="0" w:tentative="0">
      <w:start w:val="1"/>
      <w:numFmt w:val="decimal"/>
      <w:lvlText w:val="%1."/>
      <w:lvlJc w:val="left"/>
      <w:pPr>
        <w:ind w:left="425" w:hanging="425"/>
      </w:pPr>
      <w:rPr>
        <w:rFonts w:hint="default"/>
      </w:rPr>
    </w:lvl>
  </w:abstractNum>
  <w:abstractNum w:abstractNumId="41">
    <w:nsid w:val="11563715"/>
    <w:multiLevelType w:val="multilevel"/>
    <w:tmpl w:val="11563715"/>
    <w:lvl w:ilvl="0" w:tentative="0">
      <w:start w:val="1"/>
      <w:numFmt w:val="none"/>
      <w:lvlText w:val="28.2"/>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2">
    <w:nsid w:val="14287C06"/>
    <w:multiLevelType w:val="multilevel"/>
    <w:tmpl w:val="14287C06"/>
    <w:lvl w:ilvl="0" w:tentative="0">
      <w:start w:val="1"/>
      <w:numFmt w:val="none"/>
      <w:lvlText w:val="43.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4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3">
    <w:nsid w:val="142A5696"/>
    <w:multiLevelType w:val="multilevel"/>
    <w:tmpl w:val="142A5696"/>
    <w:lvl w:ilvl="0" w:tentative="0">
      <w:start w:val="1"/>
      <w:numFmt w:val="none"/>
      <w:lvlText w:val="28."/>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4">
    <w:nsid w:val="19186CB4"/>
    <w:multiLevelType w:val="multilevel"/>
    <w:tmpl w:val="19186CB4"/>
    <w:lvl w:ilvl="0" w:tentative="0">
      <w:start w:val="1"/>
      <w:numFmt w:val="none"/>
      <w:lvlText w:val="25."/>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5">
    <w:nsid w:val="1A1312AE"/>
    <w:multiLevelType w:val="singleLevel"/>
    <w:tmpl w:val="1A1312AE"/>
    <w:lvl w:ilvl="0" w:tentative="0">
      <w:start w:val="1"/>
      <w:numFmt w:val="chineseCounting"/>
      <w:suff w:val="nothing"/>
      <w:lvlText w:val="（%1）"/>
      <w:lvlJc w:val="left"/>
      <w:pPr>
        <w:ind w:left="0" w:firstLine="420"/>
      </w:pPr>
      <w:rPr>
        <w:rFonts w:hint="eastAsia"/>
      </w:rPr>
    </w:lvl>
  </w:abstractNum>
  <w:abstractNum w:abstractNumId="46">
    <w:nsid w:val="1A206D44"/>
    <w:multiLevelType w:val="multilevel"/>
    <w:tmpl w:val="1A206D4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7">
    <w:nsid w:val="1BD85DBB"/>
    <w:multiLevelType w:val="singleLevel"/>
    <w:tmpl w:val="1BD85DBB"/>
    <w:lvl w:ilvl="0" w:tentative="0">
      <w:start w:val="1"/>
      <w:numFmt w:val="decimal"/>
      <w:lvlText w:val="%1."/>
      <w:lvlJc w:val="left"/>
      <w:pPr>
        <w:ind w:left="425" w:hanging="425"/>
      </w:pPr>
      <w:rPr>
        <w:rFonts w:hint="default"/>
      </w:rPr>
    </w:lvl>
  </w:abstractNum>
  <w:abstractNum w:abstractNumId="48">
    <w:nsid w:val="1C5C260D"/>
    <w:multiLevelType w:val="multilevel"/>
    <w:tmpl w:val="1C5C260D"/>
    <w:lvl w:ilvl="0" w:tentative="0">
      <w:start w:val="1"/>
      <w:numFmt w:val="none"/>
      <w:lvlText w:val="25.5"/>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9">
    <w:nsid w:val="1DD22B5D"/>
    <w:multiLevelType w:val="multilevel"/>
    <w:tmpl w:val="1DD22B5D"/>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1EB073B2"/>
    <w:multiLevelType w:val="multilevel"/>
    <w:tmpl w:val="1EB073B2"/>
    <w:lvl w:ilvl="0" w:tentative="0">
      <w:start w:val="1"/>
      <w:numFmt w:val="none"/>
      <w:lvlText w:val="24.1"/>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1">
    <w:nsid w:val="23884C0F"/>
    <w:multiLevelType w:val="multilevel"/>
    <w:tmpl w:val="23884C0F"/>
    <w:lvl w:ilvl="0" w:tentative="0">
      <w:start w:val="1"/>
      <w:numFmt w:val="none"/>
      <w:lvlText w:val="23.1"/>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2">
    <w:nsid w:val="25403995"/>
    <w:multiLevelType w:val="singleLevel"/>
    <w:tmpl w:val="25403995"/>
    <w:lvl w:ilvl="0" w:tentative="0">
      <w:start w:val="1"/>
      <w:numFmt w:val="decimal"/>
      <w:suff w:val="space"/>
      <w:lvlText w:val="%1."/>
      <w:lvlJc w:val="left"/>
    </w:lvl>
  </w:abstractNum>
  <w:abstractNum w:abstractNumId="53">
    <w:nsid w:val="2767684D"/>
    <w:multiLevelType w:val="singleLevel"/>
    <w:tmpl w:val="2767684D"/>
    <w:lvl w:ilvl="0" w:tentative="0">
      <w:start w:val="1"/>
      <w:numFmt w:val="decimal"/>
      <w:lvlText w:val="%1."/>
      <w:lvlJc w:val="left"/>
      <w:pPr>
        <w:ind w:left="425" w:hanging="425"/>
      </w:pPr>
      <w:rPr>
        <w:rFonts w:hint="default"/>
      </w:rPr>
    </w:lvl>
  </w:abstractNum>
  <w:abstractNum w:abstractNumId="54">
    <w:nsid w:val="27F92373"/>
    <w:multiLevelType w:val="multilevel"/>
    <w:tmpl w:val="27F92373"/>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none"/>
      <w:lvlText w:val="33."/>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55">
    <w:nsid w:val="29CB05B3"/>
    <w:multiLevelType w:val="multilevel"/>
    <w:tmpl w:val="29CB05B3"/>
    <w:lvl w:ilvl="0" w:tentative="0">
      <w:start w:val="1"/>
      <w:numFmt w:val="none"/>
      <w:lvlText w:val="39.1"/>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6">
    <w:nsid w:val="2C93366C"/>
    <w:multiLevelType w:val="multilevel"/>
    <w:tmpl w:val="2C93366C"/>
    <w:lvl w:ilvl="0" w:tentative="0">
      <w:start w:val="1"/>
      <w:numFmt w:val="none"/>
      <w:lvlText w:val="29.2"/>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7">
    <w:nsid w:val="2E99978F"/>
    <w:multiLevelType w:val="singleLevel"/>
    <w:tmpl w:val="2E99978F"/>
    <w:lvl w:ilvl="0" w:tentative="0">
      <w:start w:val="1"/>
      <w:numFmt w:val="decimal"/>
      <w:lvlText w:val="(%1)"/>
      <w:lvlJc w:val="left"/>
      <w:pPr>
        <w:tabs>
          <w:tab w:val="left" w:pos="312"/>
        </w:tabs>
      </w:pPr>
    </w:lvl>
  </w:abstractNum>
  <w:abstractNum w:abstractNumId="58">
    <w:nsid w:val="303DDF39"/>
    <w:multiLevelType w:val="multilevel"/>
    <w:tmpl w:val="303DDF39"/>
    <w:lvl w:ilvl="0" w:tentative="0">
      <w:start w:val="1"/>
      <w:numFmt w:val="decimal"/>
      <w:pStyle w:val="55"/>
      <w:lvlText w:val="%1."/>
      <w:lvlJc w:val="left"/>
      <w:pPr>
        <w:ind w:left="425" w:hanging="425"/>
      </w:pPr>
      <w:rPr>
        <w:rFonts w:hint="default" w:ascii="Times New Roman" w:hAnsi="Times New Roman" w:cs="Times New Roman"/>
      </w:rPr>
    </w:lvl>
    <w:lvl w:ilvl="1" w:tentative="0">
      <w:start w:val="1"/>
      <w:numFmt w:val="decimal"/>
      <w:lvlText w:val="%1.%2."/>
      <w:lvlJc w:val="left"/>
      <w:pPr>
        <w:ind w:left="567" w:hanging="567"/>
      </w:pPr>
      <w:rPr>
        <w:rFonts w:hint="default" w:ascii="Times New Roman" w:hAnsi="Times New Roman" w:cs="Times New Roman"/>
      </w:rPr>
    </w:lvl>
    <w:lvl w:ilvl="2" w:tentative="0">
      <w:start w:val="1"/>
      <w:numFmt w:val="decimal"/>
      <w:lvlText w:val="%1.%2.%3."/>
      <w:lvlJc w:val="left"/>
      <w:pPr>
        <w:ind w:left="709" w:hanging="709"/>
      </w:pPr>
      <w:rPr>
        <w:rFonts w:hint="default" w:ascii="Times New Roman" w:hAnsi="Times New Roman" w:cs="Times New Roman"/>
        <w:b w:val="0"/>
        <w:bCs/>
      </w:rPr>
    </w:lvl>
    <w:lvl w:ilvl="3" w:tentative="0">
      <w:start w:val="1"/>
      <w:numFmt w:val="decimal"/>
      <w:lvlText w:val="%1.%2.%3.%4."/>
      <w:lvlJc w:val="left"/>
      <w:pPr>
        <w:ind w:left="851" w:hanging="851"/>
      </w:pPr>
      <w:rPr>
        <w:rFonts w:hint="eastAsia" w:ascii="宋体" w:hAnsi="宋体" w:eastAsia="宋体" w:cs="宋体"/>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9">
    <w:nsid w:val="321217F8"/>
    <w:multiLevelType w:val="multilevel"/>
    <w:tmpl w:val="321217F8"/>
    <w:lvl w:ilvl="0" w:tentative="0">
      <w:start w:val="1"/>
      <w:numFmt w:val="decimal"/>
      <w:lvlText w:val="40.%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41."/>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0">
    <w:nsid w:val="33EB7F88"/>
    <w:multiLevelType w:val="multilevel"/>
    <w:tmpl w:val="33EB7F88"/>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none"/>
      <w:lvlText w:val="38."/>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61">
    <w:nsid w:val="35566008"/>
    <w:multiLevelType w:val="multilevel"/>
    <w:tmpl w:val="35566008"/>
    <w:lvl w:ilvl="0" w:tentative="0">
      <w:start w:val="1"/>
      <w:numFmt w:val="none"/>
      <w:lvlText w:val="26.1"/>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2">
    <w:nsid w:val="37C820CF"/>
    <w:multiLevelType w:val="multilevel"/>
    <w:tmpl w:val="37C820CF"/>
    <w:lvl w:ilvl="0" w:tentative="0">
      <w:start w:val="1"/>
      <w:numFmt w:val="none"/>
      <w:lvlText w:val="35.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5.3"/>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3">
    <w:nsid w:val="38932074"/>
    <w:multiLevelType w:val="multilevel"/>
    <w:tmpl w:val="38932074"/>
    <w:lvl w:ilvl="0" w:tentative="0">
      <w:start w:val="1"/>
      <w:numFmt w:val="none"/>
      <w:lvlText w:val="26.2"/>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4">
    <w:nsid w:val="39496C44"/>
    <w:multiLevelType w:val="multilevel"/>
    <w:tmpl w:val="39496C44"/>
    <w:lvl w:ilvl="0" w:tentative="0">
      <w:start w:val="1"/>
      <w:numFmt w:val="none"/>
      <w:lvlText w:val="37.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7.2"/>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5">
    <w:nsid w:val="39FE7979"/>
    <w:multiLevelType w:val="multilevel"/>
    <w:tmpl w:val="39FE7979"/>
    <w:lvl w:ilvl="0" w:tentative="0">
      <w:start w:val="1"/>
      <w:numFmt w:val="none"/>
      <w:lvlText w:val="22."/>
      <w:lvlJc w:val="left"/>
      <w:pPr>
        <w:ind w:left="425" w:hanging="425"/>
      </w:pPr>
      <w:rPr>
        <w:rFonts w:hint="default" w:ascii="宋体" w:hAnsi="宋体" w:eastAsia="宋体" w:cs="宋体"/>
      </w:rPr>
    </w:lvl>
    <w:lvl w:ilvl="1" w:tentative="0">
      <w:start w:val="1"/>
      <w:numFmt w:val="decimal"/>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6">
    <w:nsid w:val="3C45CF8D"/>
    <w:multiLevelType w:val="singleLevel"/>
    <w:tmpl w:val="3C45CF8D"/>
    <w:lvl w:ilvl="0" w:tentative="0">
      <w:start w:val="1"/>
      <w:numFmt w:val="decimal"/>
      <w:lvlText w:val="%1."/>
      <w:lvlJc w:val="left"/>
      <w:pPr>
        <w:ind w:left="425" w:hanging="425"/>
      </w:pPr>
      <w:rPr>
        <w:rFonts w:hint="default"/>
      </w:rPr>
    </w:lvl>
  </w:abstractNum>
  <w:abstractNum w:abstractNumId="67">
    <w:nsid w:val="3CAF0E4F"/>
    <w:multiLevelType w:val="singleLevel"/>
    <w:tmpl w:val="3CAF0E4F"/>
    <w:lvl w:ilvl="0" w:tentative="0">
      <w:start w:val="1"/>
      <w:numFmt w:val="decimal"/>
      <w:lvlText w:val="%1."/>
      <w:lvlJc w:val="left"/>
      <w:pPr>
        <w:ind w:left="425" w:hanging="425"/>
      </w:pPr>
      <w:rPr>
        <w:rFonts w:hint="default"/>
      </w:rPr>
    </w:lvl>
  </w:abstractNum>
  <w:abstractNum w:abstractNumId="68">
    <w:nsid w:val="3D0949E9"/>
    <w:multiLevelType w:val="multilevel"/>
    <w:tmpl w:val="3D0949E9"/>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none"/>
      <w:lvlText w:val="30."/>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69">
    <w:nsid w:val="3E0A51B3"/>
    <w:multiLevelType w:val="multilevel"/>
    <w:tmpl w:val="3E0A51B3"/>
    <w:lvl w:ilvl="0" w:tentative="0">
      <w:start w:val="1"/>
      <w:numFmt w:val="none"/>
      <w:lvlText w:val="27.2"/>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0">
    <w:nsid w:val="40843B8C"/>
    <w:multiLevelType w:val="multilevel"/>
    <w:tmpl w:val="40843B8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427C4043"/>
    <w:multiLevelType w:val="multilevel"/>
    <w:tmpl w:val="427C4043"/>
    <w:lvl w:ilvl="0" w:tentative="0">
      <w:start w:val="1"/>
      <w:numFmt w:val="decimal"/>
      <w:lvlText w:val="37.%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2">
    <w:nsid w:val="441643C4"/>
    <w:multiLevelType w:val="multilevel"/>
    <w:tmpl w:val="441643C4"/>
    <w:lvl w:ilvl="0" w:tentative="0">
      <w:start w:val="1"/>
      <w:numFmt w:val="none"/>
      <w:lvlText w:val="25.2"/>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3">
    <w:nsid w:val="46BE2C99"/>
    <w:multiLevelType w:val="multilevel"/>
    <w:tmpl w:val="46BE2C99"/>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none"/>
      <w:lvlText w:val="31."/>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74">
    <w:nsid w:val="48A0AE42"/>
    <w:multiLevelType w:val="multilevel"/>
    <w:tmpl w:val="48A0AE42"/>
    <w:lvl w:ilvl="0" w:tentative="0">
      <w:start w:val="1"/>
      <w:numFmt w:val="decimal"/>
      <w:lvlText w:val="33.%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5">
    <w:nsid w:val="48A92024"/>
    <w:multiLevelType w:val="singleLevel"/>
    <w:tmpl w:val="48A92024"/>
    <w:lvl w:ilvl="0" w:tentative="0">
      <w:start w:val="1"/>
      <w:numFmt w:val="decimal"/>
      <w:suff w:val="space"/>
      <w:lvlText w:val="%1."/>
      <w:lvlJc w:val="left"/>
    </w:lvl>
  </w:abstractNum>
  <w:abstractNum w:abstractNumId="76">
    <w:nsid w:val="497D7408"/>
    <w:multiLevelType w:val="multilevel"/>
    <w:tmpl w:val="497D7408"/>
    <w:lvl w:ilvl="0" w:tentative="0">
      <w:start w:val="1"/>
      <w:numFmt w:val="none"/>
      <w:lvlText w:val="26.3"/>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7">
    <w:nsid w:val="4A992166"/>
    <w:multiLevelType w:val="multilevel"/>
    <w:tmpl w:val="4A992166"/>
    <w:lvl w:ilvl="0" w:tentative="0">
      <w:start w:val="1"/>
      <w:numFmt w:val="none"/>
      <w:lvlText w:val="28.1"/>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8">
    <w:nsid w:val="4AD74EA1"/>
    <w:multiLevelType w:val="multilevel"/>
    <w:tmpl w:val="4AD74EA1"/>
    <w:lvl w:ilvl="0" w:tentative="0">
      <w:start w:val="1"/>
      <w:numFmt w:val="none"/>
      <w:lvlText w:val="4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43."/>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9">
    <w:nsid w:val="4C2330CD"/>
    <w:multiLevelType w:val="multilevel"/>
    <w:tmpl w:val="4C2330CD"/>
    <w:lvl w:ilvl="0" w:tentative="0">
      <w:start w:val="1"/>
      <w:numFmt w:val="none"/>
      <w:lvlText w:val="34.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none"/>
      <w:lvlText w:val="35."/>
      <w:lvlJc w:val="left"/>
      <w:pPr>
        <w:ind w:left="850" w:hanging="850"/>
      </w:pPr>
      <w:rPr>
        <w:rFonts w:hint="default"/>
      </w:rPr>
    </w:lvl>
    <w:lvl w:ilvl="4" w:tentative="0">
      <w:start w:val="1"/>
      <w:numFmt w:val="none"/>
      <w:lvlText w:val="34."/>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0">
    <w:nsid w:val="4D4E91E2"/>
    <w:multiLevelType w:val="singleLevel"/>
    <w:tmpl w:val="4D4E91E2"/>
    <w:lvl w:ilvl="0" w:tentative="0">
      <w:start w:val="1"/>
      <w:numFmt w:val="decimal"/>
      <w:suff w:val="space"/>
      <w:lvlText w:val="(%1)"/>
      <w:lvlJc w:val="left"/>
    </w:lvl>
  </w:abstractNum>
  <w:abstractNum w:abstractNumId="81">
    <w:nsid w:val="4E2476BB"/>
    <w:multiLevelType w:val="multilevel"/>
    <w:tmpl w:val="4E2476BB"/>
    <w:lvl w:ilvl="0" w:tentative="0">
      <w:start w:val="1"/>
      <w:numFmt w:val="none"/>
      <w:lvlText w:val="25.4"/>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2">
    <w:nsid w:val="538A1E2B"/>
    <w:multiLevelType w:val="multilevel"/>
    <w:tmpl w:val="538A1E2B"/>
    <w:lvl w:ilvl="0" w:tentative="0">
      <w:start w:val="1"/>
      <w:numFmt w:val="none"/>
      <w:lvlText w:val="42."/>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3">
    <w:nsid w:val="53EE8785"/>
    <w:multiLevelType w:val="multilevel"/>
    <w:tmpl w:val="53EE8785"/>
    <w:lvl w:ilvl="0" w:tentative="0">
      <w:start w:val="1"/>
      <w:numFmt w:val="decimal"/>
      <w:lvlText w:val="30.%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4">
    <w:nsid w:val="55B12A78"/>
    <w:multiLevelType w:val="multilevel"/>
    <w:tmpl w:val="55B12A78"/>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5">
    <w:nsid w:val="57617D6B"/>
    <w:multiLevelType w:val="multilevel"/>
    <w:tmpl w:val="57617D6B"/>
    <w:lvl w:ilvl="0" w:tentative="0">
      <w:start w:val="1"/>
      <w:numFmt w:val="none"/>
      <w:lvlText w:val="29.1"/>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6">
    <w:nsid w:val="5879563E"/>
    <w:multiLevelType w:val="multilevel"/>
    <w:tmpl w:val="5879563E"/>
    <w:lvl w:ilvl="0" w:tentative="0">
      <w:start w:val="1"/>
      <w:numFmt w:val="none"/>
      <w:lvlText w:val="35.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none"/>
      <w:lvlText w:val="35.2"/>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7">
    <w:nsid w:val="59F9E28D"/>
    <w:multiLevelType w:val="singleLevel"/>
    <w:tmpl w:val="59F9E28D"/>
    <w:lvl w:ilvl="0" w:tentative="0">
      <w:start w:val="1"/>
      <w:numFmt w:val="decimal"/>
      <w:lvlText w:val="(%1)"/>
      <w:lvlJc w:val="left"/>
      <w:pPr>
        <w:ind w:left="425" w:hanging="425"/>
      </w:pPr>
      <w:rPr>
        <w:rFonts w:hint="default"/>
      </w:rPr>
    </w:lvl>
  </w:abstractNum>
  <w:abstractNum w:abstractNumId="88">
    <w:nsid w:val="59F9EB6C"/>
    <w:multiLevelType w:val="singleLevel"/>
    <w:tmpl w:val="59F9EB6C"/>
    <w:lvl w:ilvl="0" w:tentative="0">
      <w:start w:val="1"/>
      <w:numFmt w:val="decimal"/>
      <w:lvlText w:val="(%1)"/>
      <w:lvlJc w:val="left"/>
      <w:pPr>
        <w:ind w:left="425" w:hanging="425"/>
      </w:pPr>
      <w:rPr>
        <w:rFonts w:hint="default"/>
      </w:rPr>
    </w:lvl>
  </w:abstractNum>
  <w:abstractNum w:abstractNumId="89">
    <w:nsid w:val="5A13ED8E"/>
    <w:multiLevelType w:val="singleLevel"/>
    <w:tmpl w:val="5A13ED8E"/>
    <w:lvl w:ilvl="0" w:tentative="0">
      <w:start w:val="1"/>
      <w:numFmt w:val="decimal"/>
      <w:suff w:val="nothing"/>
      <w:lvlText w:val="%1、"/>
      <w:lvlJc w:val="left"/>
    </w:lvl>
  </w:abstractNum>
  <w:abstractNum w:abstractNumId="90">
    <w:nsid w:val="5A143237"/>
    <w:multiLevelType w:val="singleLevel"/>
    <w:tmpl w:val="5A143237"/>
    <w:lvl w:ilvl="0" w:tentative="0">
      <w:start w:val="1"/>
      <w:numFmt w:val="decimal"/>
      <w:lvlText w:val="%1."/>
      <w:lvlJc w:val="left"/>
      <w:pPr>
        <w:ind w:left="425" w:hanging="425"/>
      </w:pPr>
      <w:rPr>
        <w:rFonts w:hint="default"/>
      </w:rPr>
    </w:lvl>
  </w:abstractNum>
  <w:abstractNum w:abstractNumId="91">
    <w:nsid w:val="5A64B232"/>
    <w:multiLevelType w:val="singleLevel"/>
    <w:tmpl w:val="5A64B232"/>
    <w:lvl w:ilvl="0" w:tentative="0">
      <w:start w:val="1"/>
      <w:numFmt w:val="chineseCounting"/>
      <w:suff w:val="nothing"/>
      <w:lvlText w:val="%1、"/>
      <w:lvlJc w:val="left"/>
      <w:pPr>
        <w:ind w:left="0" w:firstLine="420"/>
      </w:pPr>
      <w:rPr>
        <w:rFonts w:hint="eastAsia"/>
      </w:rPr>
    </w:lvl>
  </w:abstractNum>
  <w:abstractNum w:abstractNumId="92">
    <w:nsid w:val="5A7C17E7"/>
    <w:multiLevelType w:val="singleLevel"/>
    <w:tmpl w:val="5A7C17E7"/>
    <w:lvl w:ilvl="0" w:tentative="0">
      <w:start w:val="1"/>
      <w:numFmt w:val="decimal"/>
      <w:lvlText w:val="(%1)"/>
      <w:lvlJc w:val="left"/>
      <w:pPr>
        <w:ind w:left="425" w:hanging="425"/>
      </w:pPr>
      <w:rPr>
        <w:rFonts w:hint="default"/>
      </w:rPr>
    </w:lvl>
  </w:abstractNum>
  <w:abstractNum w:abstractNumId="93">
    <w:nsid w:val="5A7C1F81"/>
    <w:multiLevelType w:val="singleLevel"/>
    <w:tmpl w:val="5A7C1F81"/>
    <w:lvl w:ilvl="0" w:tentative="0">
      <w:start w:val="1"/>
      <w:numFmt w:val="chineseCounting"/>
      <w:suff w:val="nothing"/>
      <w:lvlText w:val="（%1）"/>
      <w:lvlJc w:val="left"/>
      <w:pPr>
        <w:ind w:left="0" w:firstLine="420"/>
      </w:pPr>
      <w:rPr>
        <w:rFonts w:hint="eastAsia"/>
      </w:rPr>
    </w:lvl>
  </w:abstractNum>
  <w:abstractNum w:abstractNumId="94">
    <w:nsid w:val="5A7C1F9C"/>
    <w:multiLevelType w:val="singleLevel"/>
    <w:tmpl w:val="5A7C1F9C"/>
    <w:lvl w:ilvl="0" w:tentative="0">
      <w:start w:val="1"/>
      <w:numFmt w:val="chineseCounting"/>
      <w:suff w:val="nothing"/>
      <w:lvlText w:val="（%1）"/>
      <w:lvlJc w:val="left"/>
      <w:pPr>
        <w:ind w:left="0" w:firstLine="420"/>
      </w:pPr>
      <w:rPr>
        <w:rFonts w:hint="eastAsia"/>
      </w:rPr>
    </w:lvl>
  </w:abstractNum>
  <w:abstractNum w:abstractNumId="95">
    <w:nsid w:val="5A7C1FB1"/>
    <w:multiLevelType w:val="singleLevel"/>
    <w:tmpl w:val="5A7C1FB1"/>
    <w:lvl w:ilvl="0" w:tentative="0">
      <w:start w:val="1"/>
      <w:numFmt w:val="chineseCounting"/>
      <w:suff w:val="nothing"/>
      <w:lvlText w:val="（%1）"/>
      <w:lvlJc w:val="left"/>
      <w:pPr>
        <w:ind w:left="0" w:firstLine="420"/>
      </w:pPr>
      <w:rPr>
        <w:rFonts w:hint="eastAsia"/>
      </w:rPr>
    </w:lvl>
  </w:abstractNum>
  <w:abstractNum w:abstractNumId="96">
    <w:nsid w:val="5A7C1FCA"/>
    <w:multiLevelType w:val="singleLevel"/>
    <w:tmpl w:val="5A7C1FCA"/>
    <w:lvl w:ilvl="0" w:tentative="0">
      <w:start w:val="1"/>
      <w:numFmt w:val="chineseCounting"/>
      <w:suff w:val="nothing"/>
      <w:lvlText w:val="（%1）"/>
      <w:lvlJc w:val="left"/>
      <w:pPr>
        <w:ind w:left="0" w:firstLine="420"/>
      </w:pPr>
      <w:rPr>
        <w:rFonts w:hint="eastAsia"/>
      </w:rPr>
    </w:lvl>
  </w:abstractNum>
  <w:abstractNum w:abstractNumId="97">
    <w:nsid w:val="5A7C2047"/>
    <w:multiLevelType w:val="singleLevel"/>
    <w:tmpl w:val="5A7C2047"/>
    <w:lvl w:ilvl="0" w:tentative="0">
      <w:start w:val="1"/>
      <w:numFmt w:val="decimal"/>
      <w:lvlText w:val="%1."/>
      <w:lvlJc w:val="left"/>
      <w:pPr>
        <w:ind w:left="425" w:hanging="425"/>
      </w:pPr>
      <w:rPr>
        <w:rFonts w:hint="default"/>
      </w:rPr>
    </w:lvl>
  </w:abstractNum>
  <w:abstractNum w:abstractNumId="98">
    <w:nsid w:val="5A7C20CC"/>
    <w:multiLevelType w:val="multilevel"/>
    <w:tmpl w:val="5A7C20CC"/>
    <w:lvl w:ilvl="0" w:tentative="0">
      <w:start w:val="1"/>
      <w:numFmt w:val="japaneseCounting"/>
      <w:lvlText w:val="%1、"/>
      <w:lvlJc w:val="left"/>
      <w:pPr>
        <w:tabs>
          <w:tab w:val="left" w:pos="962"/>
        </w:tabs>
        <w:ind w:left="962" w:hanging="480"/>
      </w:pPr>
      <w:rPr>
        <w:rFonts w:hint="default"/>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846"/>
        </w:tabs>
        <w:ind w:left="846"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99">
    <w:nsid w:val="5A7C22D4"/>
    <w:multiLevelType w:val="multilevel"/>
    <w:tmpl w:val="5A7C22D4"/>
    <w:lvl w:ilvl="0" w:tentative="0">
      <w:start w:val="1"/>
      <w:numFmt w:val="japaneseCounting"/>
      <w:lvlText w:val="%1、"/>
      <w:lvlJc w:val="left"/>
      <w:pPr>
        <w:tabs>
          <w:tab w:val="left" w:pos="962"/>
        </w:tabs>
        <w:ind w:left="962" w:hanging="480"/>
      </w:pPr>
      <w:rPr>
        <w:rFonts w:hint="default"/>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846"/>
        </w:tabs>
        <w:ind w:left="846"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00">
    <w:nsid w:val="5A7C551D"/>
    <w:multiLevelType w:val="multilevel"/>
    <w:tmpl w:val="5A7C551D"/>
    <w:lvl w:ilvl="0" w:tentative="0">
      <w:start w:val="1"/>
      <w:numFmt w:val="decimal"/>
      <w:lvlText w:val="1.%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1">
    <w:nsid w:val="5A7C5784"/>
    <w:multiLevelType w:val="multilevel"/>
    <w:tmpl w:val="5A7C5784"/>
    <w:lvl w:ilvl="0" w:tentative="0">
      <w:start w:val="1"/>
      <w:numFmt w:val="decimal"/>
      <w:lvlText w:val="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2">
    <w:nsid w:val="5A7C57B1"/>
    <w:multiLevelType w:val="multilevel"/>
    <w:tmpl w:val="5A7C57B1"/>
    <w:lvl w:ilvl="0" w:tentative="0">
      <w:start w:val="1"/>
      <w:numFmt w:val="decimal"/>
      <w:lvlText w:val="3.%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3">
    <w:nsid w:val="5A7C5809"/>
    <w:multiLevelType w:val="multilevel"/>
    <w:tmpl w:val="5A7C5809"/>
    <w:lvl w:ilvl="0" w:tentative="0">
      <w:start w:val="1"/>
      <w:numFmt w:val="decimal"/>
      <w:lvlText w:val="6.%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4">
    <w:nsid w:val="5A7C583E"/>
    <w:multiLevelType w:val="multilevel"/>
    <w:tmpl w:val="5A7C583E"/>
    <w:lvl w:ilvl="0" w:tentative="0">
      <w:start w:val="1"/>
      <w:numFmt w:val="decimal"/>
      <w:lvlText w:val="7.%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5">
    <w:nsid w:val="5A7C5877"/>
    <w:multiLevelType w:val="multilevel"/>
    <w:tmpl w:val="5A7C5877"/>
    <w:lvl w:ilvl="0" w:tentative="0">
      <w:start w:val="1"/>
      <w:numFmt w:val="decimal"/>
      <w:lvlText w:val="9.%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6">
    <w:nsid w:val="5A7C58B3"/>
    <w:multiLevelType w:val="multilevel"/>
    <w:tmpl w:val="5A7C58B3"/>
    <w:lvl w:ilvl="0" w:tentative="0">
      <w:start w:val="1"/>
      <w:numFmt w:val="decimal"/>
      <w:lvlText w:val="10.%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7">
    <w:nsid w:val="5A7C58E4"/>
    <w:multiLevelType w:val="multilevel"/>
    <w:tmpl w:val="5A7C58E4"/>
    <w:lvl w:ilvl="0" w:tentative="0">
      <w:start w:val="1"/>
      <w:numFmt w:val="decimal"/>
      <w:lvlText w:val="11.%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8">
    <w:nsid w:val="5A7C5919"/>
    <w:multiLevelType w:val="multilevel"/>
    <w:tmpl w:val="5A7C5919"/>
    <w:lvl w:ilvl="0" w:tentative="0">
      <w:start w:val="1"/>
      <w:numFmt w:val="decimal"/>
      <w:lvlText w:val="1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9">
    <w:nsid w:val="5A7C594C"/>
    <w:multiLevelType w:val="multilevel"/>
    <w:tmpl w:val="5A7C594C"/>
    <w:lvl w:ilvl="0" w:tentative="0">
      <w:start w:val="1"/>
      <w:numFmt w:val="decimal"/>
      <w:lvlText w:val="13.%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0">
    <w:nsid w:val="5A7C5985"/>
    <w:multiLevelType w:val="multilevel"/>
    <w:tmpl w:val="5A7C5985"/>
    <w:lvl w:ilvl="0" w:tentative="0">
      <w:start w:val="1"/>
      <w:numFmt w:val="decimal"/>
      <w:lvlText w:val="14.%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1">
    <w:nsid w:val="5A7C59C1"/>
    <w:multiLevelType w:val="multilevel"/>
    <w:tmpl w:val="5A7C59C1"/>
    <w:lvl w:ilvl="0" w:tentative="0">
      <w:start w:val="1"/>
      <w:numFmt w:val="decimal"/>
      <w:lvlText w:val="15.%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2">
    <w:nsid w:val="5A7C59FA"/>
    <w:multiLevelType w:val="multilevel"/>
    <w:tmpl w:val="5A7C59FA"/>
    <w:lvl w:ilvl="0" w:tentative="0">
      <w:start w:val="1"/>
      <w:numFmt w:val="decimal"/>
      <w:lvlText w:val="16.%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3">
    <w:nsid w:val="5A7C5A33"/>
    <w:multiLevelType w:val="multilevel"/>
    <w:tmpl w:val="5A7C5A33"/>
    <w:lvl w:ilvl="0" w:tentative="0">
      <w:start w:val="1"/>
      <w:numFmt w:val="decimal"/>
      <w:lvlText w:val="17.%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4">
    <w:nsid w:val="5A7C5A68"/>
    <w:multiLevelType w:val="multilevel"/>
    <w:tmpl w:val="5A7C5A68"/>
    <w:lvl w:ilvl="0" w:tentative="0">
      <w:start w:val="1"/>
      <w:numFmt w:val="decimal"/>
      <w:lvlText w:val="18.%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5">
    <w:nsid w:val="5A7C5A98"/>
    <w:multiLevelType w:val="multilevel"/>
    <w:tmpl w:val="5A7C5A98"/>
    <w:lvl w:ilvl="0" w:tentative="0">
      <w:start w:val="1"/>
      <w:numFmt w:val="decimal"/>
      <w:lvlText w:val="19.%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6">
    <w:nsid w:val="5A7C5AD0"/>
    <w:multiLevelType w:val="multilevel"/>
    <w:tmpl w:val="5A7C5AD0"/>
    <w:lvl w:ilvl="0" w:tentative="0">
      <w:start w:val="1"/>
      <w:numFmt w:val="decimal"/>
      <w:lvlText w:val="20.%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7">
    <w:nsid w:val="5A7C5B07"/>
    <w:multiLevelType w:val="multilevel"/>
    <w:tmpl w:val="5A7C5B07"/>
    <w:lvl w:ilvl="0" w:tentative="0">
      <w:start w:val="1"/>
      <w:numFmt w:val="decimal"/>
      <w:lvlText w:val="21.%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8">
    <w:nsid w:val="5A7C5DFF"/>
    <w:multiLevelType w:val="singleLevel"/>
    <w:tmpl w:val="5A7C5DFF"/>
    <w:lvl w:ilvl="0" w:tentative="0">
      <w:start w:val="1"/>
      <w:numFmt w:val="decimal"/>
      <w:lvlText w:val="(%1)"/>
      <w:lvlJc w:val="left"/>
      <w:pPr>
        <w:ind w:left="425" w:hanging="425"/>
      </w:pPr>
      <w:rPr>
        <w:rFonts w:hint="default"/>
      </w:rPr>
    </w:lvl>
  </w:abstractNum>
  <w:abstractNum w:abstractNumId="119">
    <w:nsid w:val="5A7C5F69"/>
    <w:multiLevelType w:val="singleLevel"/>
    <w:tmpl w:val="5A7C5F69"/>
    <w:lvl w:ilvl="0" w:tentative="0">
      <w:start w:val="1"/>
      <w:numFmt w:val="decimal"/>
      <w:lvlText w:val="(%1)"/>
      <w:lvlJc w:val="left"/>
      <w:pPr>
        <w:ind w:left="425" w:hanging="425"/>
      </w:pPr>
      <w:rPr>
        <w:rFonts w:hint="default"/>
      </w:rPr>
    </w:lvl>
  </w:abstractNum>
  <w:abstractNum w:abstractNumId="120">
    <w:nsid w:val="5A7C6003"/>
    <w:multiLevelType w:val="singleLevel"/>
    <w:tmpl w:val="5A7C6003"/>
    <w:lvl w:ilvl="0" w:tentative="0">
      <w:start w:val="1"/>
      <w:numFmt w:val="decimal"/>
      <w:lvlText w:val="(%1)"/>
      <w:lvlJc w:val="left"/>
      <w:pPr>
        <w:ind w:left="425" w:hanging="425"/>
      </w:pPr>
      <w:rPr>
        <w:rFonts w:hint="default"/>
      </w:rPr>
    </w:lvl>
  </w:abstractNum>
  <w:abstractNum w:abstractNumId="121">
    <w:nsid w:val="5A7C6228"/>
    <w:multiLevelType w:val="singleLevel"/>
    <w:tmpl w:val="5A7C6228"/>
    <w:lvl w:ilvl="0" w:tentative="0">
      <w:start w:val="1"/>
      <w:numFmt w:val="decimal"/>
      <w:lvlText w:val="(%1)"/>
      <w:lvlJc w:val="left"/>
      <w:pPr>
        <w:ind w:left="425" w:hanging="425"/>
      </w:pPr>
      <w:rPr>
        <w:rFonts w:hint="default"/>
      </w:rPr>
    </w:lvl>
  </w:abstractNum>
  <w:abstractNum w:abstractNumId="122">
    <w:nsid w:val="5A7C76E7"/>
    <w:multiLevelType w:val="singleLevel"/>
    <w:tmpl w:val="5A7C76E7"/>
    <w:lvl w:ilvl="0" w:tentative="0">
      <w:start w:val="1"/>
      <w:numFmt w:val="chineseCounting"/>
      <w:suff w:val="nothing"/>
      <w:lvlText w:val="%1、"/>
      <w:lvlJc w:val="left"/>
      <w:pPr>
        <w:ind w:left="0" w:firstLine="420"/>
      </w:pPr>
      <w:rPr>
        <w:rFonts w:hint="eastAsia"/>
      </w:rPr>
    </w:lvl>
  </w:abstractNum>
  <w:abstractNum w:abstractNumId="123">
    <w:nsid w:val="5A7C773B"/>
    <w:multiLevelType w:val="singleLevel"/>
    <w:tmpl w:val="5A7C773B"/>
    <w:lvl w:ilvl="0" w:tentative="0">
      <w:start w:val="1"/>
      <w:numFmt w:val="decimal"/>
      <w:lvlText w:val="%1."/>
      <w:lvlJc w:val="left"/>
      <w:pPr>
        <w:ind w:left="425" w:hanging="425"/>
      </w:pPr>
      <w:rPr>
        <w:rFonts w:hint="default"/>
      </w:rPr>
    </w:lvl>
  </w:abstractNum>
  <w:abstractNum w:abstractNumId="124">
    <w:nsid w:val="5A7C7763"/>
    <w:multiLevelType w:val="singleLevel"/>
    <w:tmpl w:val="5A7C7763"/>
    <w:lvl w:ilvl="0" w:tentative="0">
      <w:start w:val="1"/>
      <w:numFmt w:val="decimal"/>
      <w:lvlText w:val="%1."/>
      <w:lvlJc w:val="left"/>
      <w:pPr>
        <w:ind w:left="420" w:hanging="420"/>
      </w:pPr>
      <w:rPr>
        <w:rFonts w:hint="default"/>
      </w:rPr>
    </w:lvl>
  </w:abstractNum>
  <w:abstractNum w:abstractNumId="125">
    <w:nsid w:val="5A7C7784"/>
    <w:multiLevelType w:val="singleLevel"/>
    <w:tmpl w:val="5A7C7784"/>
    <w:lvl w:ilvl="0" w:tentative="0">
      <w:start w:val="1"/>
      <w:numFmt w:val="decimal"/>
      <w:lvlText w:val="%1."/>
      <w:lvlJc w:val="left"/>
      <w:pPr>
        <w:ind w:left="425" w:hanging="425"/>
      </w:pPr>
      <w:rPr>
        <w:rFonts w:hint="default"/>
      </w:rPr>
    </w:lvl>
  </w:abstractNum>
  <w:abstractNum w:abstractNumId="126">
    <w:nsid w:val="5A7C77AF"/>
    <w:multiLevelType w:val="singleLevel"/>
    <w:tmpl w:val="5A7C77AF"/>
    <w:lvl w:ilvl="0" w:tentative="0">
      <w:start w:val="1"/>
      <w:numFmt w:val="decimal"/>
      <w:lvlText w:val="(%1)"/>
      <w:lvlJc w:val="left"/>
      <w:pPr>
        <w:ind w:left="425" w:hanging="425"/>
      </w:pPr>
      <w:rPr>
        <w:rFonts w:hint="default"/>
      </w:rPr>
    </w:lvl>
  </w:abstractNum>
  <w:abstractNum w:abstractNumId="127">
    <w:nsid w:val="5A7C77CC"/>
    <w:multiLevelType w:val="singleLevel"/>
    <w:tmpl w:val="5A7C77CC"/>
    <w:lvl w:ilvl="0" w:tentative="0">
      <w:start w:val="1"/>
      <w:numFmt w:val="decimal"/>
      <w:lvlText w:val="%1."/>
      <w:lvlJc w:val="left"/>
      <w:pPr>
        <w:ind w:left="425" w:hanging="425"/>
      </w:pPr>
      <w:rPr>
        <w:rFonts w:hint="default"/>
      </w:rPr>
    </w:lvl>
  </w:abstractNum>
  <w:abstractNum w:abstractNumId="128">
    <w:nsid w:val="5AA09C4C"/>
    <w:multiLevelType w:val="multilevel"/>
    <w:tmpl w:val="5AA09C4C"/>
    <w:lvl w:ilvl="0" w:tentative="0">
      <w:start w:val="1"/>
      <w:numFmt w:val="decimal"/>
      <w:lvlText w:val="5.%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9">
    <w:nsid w:val="5AA09C6B"/>
    <w:multiLevelType w:val="multilevel"/>
    <w:tmpl w:val="5AA09C6B"/>
    <w:lvl w:ilvl="0" w:tentative="0">
      <w:start w:val="1"/>
      <w:numFmt w:val="decimal"/>
      <w:lvlText w:val="4.%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0">
    <w:nsid w:val="5AA09CA5"/>
    <w:multiLevelType w:val="multilevel"/>
    <w:tmpl w:val="5AA09CA5"/>
    <w:lvl w:ilvl="0" w:tentative="0">
      <w:start w:val="1"/>
      <w:numFmt w:val="decimal"/>
      <w:lvlText w:val="8.%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1">
    <w:nsid w:val="5AA09E01"/>
    <w:multiLevelType w:val="singleLevel"/>
    <w:tmpl w:val="5AA09E01"/>
    <w:lvl w:ilvl="0" w:tentative="0">
      <w:start w:val="1"/>
      <w:numFmt w:val="decimal"/>
      <w:lvlText w:val="3.1.%1"/>
      <w:lvlJc w:val="left"/>
      <w:pPr>
        <w:tabs>
          <w:tab w:val="left" w:pos="420"/>
        </w:tabs>
        <w:ind w:left="425" w:hanging="425"/>
      </w:pPr>
      <w:rPr>
        <w:rFonts w:hint="default" w:ascii="宋体" w:hAnsi="宋体" w:eastAsia="宋体" w:cs="宋体"/>
      </w:rPr>
    </w:lvl>
  </w:abstractNum>
  <w:abstractNum w:abstractNumId="132">
    <w:nsid w:val="5AA09EA7"/>
    <w:multiLevelType w:val="singleLevel"/>
    <w:tmpl w:val="5AA09EA7"/>
    <w:lvl w:ilvl="0" w:tentative="0">
      <w:start w:val="1"/>
      <w:numFmt w:val="decimal"/>
      <w:lvlText w:val="3.2.%1"/>
      <w:lvlJc w:val="left"/>
      <w:pPr>
        <w:tabs>
          <w:tab w:val="left" w:pos="420"/>
        </w:tabs>
        <w:ind w:left="425" w:hanging="425"/>
      </w:pPr>
      <w:rPr>
        <w:rFonts w:hint="default" w:ascii="宋体" w:hAnsi="宋体" w:eastAsia="宋体" w:cs="宋体"/>
      </w:rPr>
    </w:lvl>
  </w:abstractNum>
  <w:abstractNum w:abstractNumId="133">
    <w:nsid w:val="5AA09ED7"/>
    <w:multiLevelType w:val="singleLevel"/>
    <w:tmpl w:val="5AA09ED7"/>
    <w:lvl w:ilvl="0" w:tentative="0">
      <w:start w:val="1"/>
      <w:numFmt w:val="decimal"/>
      <w:lvlText w:val="14.1.%1"/>
      <w:lvlJc w:val="left"/>
      <w:pPr>
        <w:tabs>
          <w:tab w:val="left" w:pos="420"/>
        </w:tabs>
        <w:ind w:left="425" w:hanging="425"/>
      </w:pPr>
      <w:rPr>
        <w:rFonts w:hint="default" w:ascii="宋体" w:hAnsi="宋体" w:eastAsia="宋体" w:cs="宋体"/>
      </w:rPr>
    </w:lvl>
  </w:abstractNum>
  <w:abstractNum w:abstractNumId="134">
    <w:nsid w:val="5B663100"/>
    <w:multiLevelType w:val="multilevel"/>
    <w:tmpl w:val="5B663100"/>
    <w:lvl w:ilvl="0" w:tentative="0">
      <w:start w:val="1"/>
      <w:numFmt w:val="none"/>
      <w:lvlText w:val="27."/>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5">
    <w:nsid w:val="5D304F3D"/>
    <w:multiLevelType w:val="multilevel"/>
    <w:tmpl w:val="5D304F3D"/>
    <w:lvl w:ilvl="0" w:tentative="0">
      <w:start w:val="1"/>
      <w:numFmt w:val="none"/>
      <w:lvlText w:val="25.3"/>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6">
    <w:nsid w:val="5FD70A50"/>
    <w:multiLevelType w:val="multilevel"/>
    <w:tmpl w:val="5FD70A50"/>
    <w:lvl w:ilvl="0" w:tentative="0">
      <w:start w:val="1"/>
      <w:numFmt w:val="none"/>
      <w:lvlText w:val="26."/>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7">
    <w:nsid w:val="61EDB2F0"/>
    <w:multiLevelType w:val="singleLevel"/>
    <w:tmpl w:val="61EDB2F0"/>
    <w:lvl w:ilvl="0" w:tentative="0">
      <w:start w:val="1"/>
      <w:numFmt w:val="decimal"/>
      <w:suff w:val="space"/>
      <w:lvlText w:val="%1."/>
      <w:lvlJc w:val="left"/>
      <w:rPr>
        <w:rFonts w:hint="default" w:ascii="宋体" w:hAnsi="宋体" w:eastAsia="宋体" w:cs="宋体"/>
        <w:b w:val="0"/>
        <w:bCs w:val="0"/>
      </w:rPr>
    </w:lvl>
  </w:abstractNum>
  <w:abstractNum w:abstractNumId="138">
    <w:nsid w:val="620C323E"/>
    <w:multiLevelType w:val="multilevel"/>
    <w:tmpl w:val="620C323E"/>
    <w:lvl w:ilvl="0" w:tentative="0">
      <w:start w:val="1"/>
      <w:numFmt w:val="none"/>
      <w:lvlText w:val="26.4"/>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9">
    <w:nsid w:val="62720CB3"/>
    <w:multiLevelType w:val="multilevel"/>
    <w:tmpl w:val="62720CB3"/>
    <w:lvl w:ilvl="0" w:tentative="0">
      <w:start w:val="1"/>
      <w:numFmt w:val="decimal"/>
      <w:lvlText w:val="40.%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0">
    <w:nsid w:val="6474774A"/>
    <w:multiLevelType w:val="multilevel"/>
    <w:tmpl w:val="6474774A"/>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none"/>
      <w:lvlText w:val="30.3"/>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141">
    <w:nsid w:val="649F0679"/>
    <w:multiLevelType w:val="multilevel"/>
    <w:tmpl w:val="649F0679"/>
    <w:lvl w:ilvl="0" w:tentative="0">
      <w:start w:val="1"/>
      <w:numFmt w:val="none"/>
      <w:lvlText w:val="27.2"/>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2">
    <w:nsid w:val="66AE73E2"/>
    <w:multiLevelType w:val="multilevel"/>
    <w:tmpl w:val="66AE73E2"/>
    <w:lvl w:ilvl="0" w:tentative="0">
      <w:start w:val="1"/>
      <w:numFmt w:val="decimal"/>
      <w:lvlText w:val="%1."/>
      <w:lvlJc w:val="left"/>
      <w:pPr>
        <w:ind w:left="420" w:hanging="420"/>
      </w:pPr>
      <w:rPr>
        <w:rFonts w:hint="eastAsia"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3">
    <w:nsid w:val="682E072A"/>
    <w:multiLevelType w:val="multilevel"/>
    <w:tmpl w:val="682E072A"/>
    <w:lvl w:ilvl="0" w:tentative="0">
      <w:start w:val="1"/>
      <w:numFmt w:val="none"/>
      <w:lvlText w:val="25.7"/>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4">
    <w:nsid w:val="69F227DD"/>
    <w:multiLevelType w:val="multilevel"/>
    <w:tmpl w:val="69F227DD"/>
    <w:lvl w:ilvl="0" w:tentative="0">
      <w:start w:val="1"/>
      <w:numFmt w:val="none"/>
      <w:lvlText w:val="39.1"/>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40."/>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5">
    <w:nsid w:val="6B2E4D71"/>
    <w:multiLevelType w:val="multilevel"/>
    <w:tmpl w:val="6B2E4D71"/>
    <w:lvl w:ilvl="0" w:tentative="0">
      <w:start w:val="1"/>
      <w:numFmt w:val="decimal"/>
      <w:lvlText w:val="32.%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6">
    <w:nsid w:val="6B7BDA80"/>
    <w:multiLevelType w:val="multilevel"/>
    <w:tmpl w:val="6B7BDA80"/>
    <w:lvl w:ilvl="0" w:tentative="0">
      <w:start w:val="1"/>
      <w:numFmt w:val="decimal"/>
      <w:lvlText w:val="38.%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7">
    <w:nsid w:val="6CAD0991"/>
    <w:multiLevelType w:val="singleLevel"/>
    <w:tmpl w:val="6CAD0991"/>
    <w:lvl w:ilvl="0" w:tentative="0">
      <w:start w:val="1"/>
      <w:numFmt w:val="decimal"/>
      <w:suff w:val="nothing"/>
      <w:lvlText w:val="%1．"/>
      <w:lvlJc w:val="left"/>
      <w:pPr>
        <w:ind w:left="0" w:firstLine="400"/>
      </w:pPr>
      <w:rPr>
        <w:rFonts w:hint="default"/>
      </w:rPr>
    </w:lvl>
  </w:abstractNum>
  <w:abstractNum w:abstractNumId="148">
    <w:nsid w:val="6E6F60E6"/>
    <w:multiLevelType w:val="multilevel"/>
    <w:tmpl w:val="6E6F60E6"/>
    <w:lvl w:ilvl="0" w:tentative="0">
      <w:start w:val="1"/>
      <w:numFmt w:val="japaneseCounting"/>
      <w:lvlText w:val="（%1）"/>
      <w:lvlJc w:val="left"/>
      <w:pPr>
        <w:tabs>
          <w:tab w:val="left" w:pos="720"/>
        </w:tabs>
        <w:ind w:left="720" w:hanging="720"/>
      </w:pPr>
      <w:rPr>
        <w:rFonts w:hint="eastAsia" w:ascii="仿宋_GB2312" w:eastAsia="仿宋_GB2312"/>
        <w:color w:val="auto"/>
        <w:sz w:val="24"/>
        <w:szCs w:val="24"/>
        <w:lang w:val="en-US"/>
      </w:rPr>
    </w:lvl>
    <w:lvl w:ilvl="1" w:tentative="0">
      <w:start w:val="1"/>
      <w:numFmt w:val="decimal"/>
      <w:lvlText w:val="%2."/>
      <w:lvlJc w:val="left"/>
      <w:pPr>
        <w:tabs>
          <w:tab w:val="left" w:pos="840"/>
        </w:tabs>
        <w:ind w:left="840" w:hanging="420"/>
      </w:pPr>
      <w:rPr>
        <w:rFonts w:hint="default" w:ascii="宋体" w:hAnsi="宋体" w:eastAsia="宋体" w:cs="宋体"/>
        <w:b w:val="0"/>
        <w:bCs w:val="0"/>
        <w:sz w:val="21"/>
        <w:szCs w:val="21"/>
        <w:lang w:val="en-U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9">
    <w:nsid w:val="70431D66"/>
    <w:multiLevelType w:val="multilevel"/>
    <w:tmpl w:val="70431D66"/>
    <w:lvl w:ilvl="0" w:tentative="0">
      <w:start w:val="1"/>
      <w:numFmt w:val="none"/>
      <w:lvlText w:val="25.1"/>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0">
    <w:nsid w:val="750503E0"/>
    <w:multiLevelType w:val="multilevel"/>
    <w:tmpl w:val="750503E0"/>
    <w:lvl w:ilvl="0" w:tentative="0">
      <w:start w:val="1"/>
      <w:numFmt w:val="decimal"/>
      <w:lvlText w:val="31.%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none"/>
      <w:lvlText w:val="32."/>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1">
    <w:nsid w:val="77E1C6A7"/>
    <w:multiLevelType w:val="singleLevel"/>
    <w:tmpl w:val="77E1C6A7"/>
    <w:lvl w:ilvl="0" w:tentative="0">
      <w:start w:val="1"/>
      <w:numFmt w:val="decimal"/>
      <w:lvlText w:val="%1."/>
      <w:lvlJc w:val="left"/>
      <w:pPr>
        <w:ind w:left="425" w:hanging="425"/>
      </w:pPr>
      <w:rPr>
        <w:rFonts w:hint="default"/>
      </w:rPr>
    </w:lvl>
  </w:abstractNum>
  <w:abstractNum w:abstractNumId="152">
    <w:nsid w:val="78D30B2B"/>
    <w:multiLevelType w:val="multilevel"/>
    <w:tmpl w:val="78D30B2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3">
    <w:nsid w:val="78FF2709"/>
    <w:multiLevelType w:val="multilevel"/>
    <w:tmpl w:val="78FF2709"/>
    <w:lvl w:ilvl="0" w:tentative="0">
      <w:start w:val="1"/>
      <w:numFmt w:val="decimal"/>
      <w:lvlText w:val="%1."/>
      <w:lvlJc w:val="left"/>
      <w:pPr>
        <w:ind w:left="420" w:hanging="420"/>
      </w:pPr>
      <w:rPr>
        <w:rFonts w:hint="eastAsia"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4">
    <w:nsid w:val="79C71ECE"/>
    <w:multiLevelType w:val="multilevel"/>
    <w:tmpl w:val="79C71ECE"/>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none"/>
      <w:lvlText w:val="39."/>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155">
    <w:nsid w:val="7C00657C"/>
    <w:multiLevelType w:val="multilevel"/>
    <w:tmpl w:val="7C00657C"/>
    <w:lvl w:ilvl="0" w:tentative="0">
      <w:start w:val="1"/>
      <w:numFmt w:val="none"/>
      <w:lvlText w:val="25.6"/>
      <w:lvlJc w:val="left"/>
      <w:pPr>
        <w:ind w:left="425" w:hanging="425"/>
      </w:pPr>
      <w:rPr>
        <w:rFonts w:hint="default" w:ascii="宋体" w:hAnsi="宋体" w:eastAsia="宋体" w:cs="宋体"/>
      </w:rPr>
    </w:lvl>
    <w:lvl w:ilvl="1" w:tentative="0">
      <w:start w:val="1"/>
      <w:numFmt w:val="none"/>
      <w:lvlText w:val="22.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6">
    <w:nsid w:val="7E7C27FC"/>
    <w:multiLevelType w:val="multilevel"/>
    <w:tmpl w:val="7E7C27FC"/>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none"/>
      <w:lvlText w:val="36."/>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157">
    <w:nsid w:val="7F2F099A"/>
    <w:multiLevelType w:val="multilevel"/>
    <w:tmpl w:val="7F2F099A"/>
    <w:lvl w:ilvl="0" w:tentative="0">
      <w:start w:val="1"/>
      <w:numFmt w:val="none"/>
      <w:lvlText w:val="28.3"/>
      <w:lvlJc w:val="left"/>
      <w:pPr>
        <w:ind w:left="425" w:hanging="425"/>
      </w:pPr>
      <w:rPr>
        <w:rFonts w:hint="default" w:ascii="宋体" w:hAnsi="宋体" w:eastAsia="宋体" w:cs="宋体"/>
      </w:rPr>
    </w:lvl>
    <w:lvl w:ilvl="1" w:tentative="0">
      <w:start w:val="1"/>
      <w:numFmt w:val="none"/>
      <w:lvlText w:val="27.3"/>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1"/>
  </w:num>
  <w:num w:numId="3">
    <w:abstractNumId w:val="93"/>
  </w:num>
  <w:num w:numId="4">
    <w:abstractNumId w:val="94"/>
  </w:num>
  <w:num w:numId="5">
    <w:abstractNumId w:val="95"/>
  </w:num>
  <w:num w:numId="6">
    <w:abstractNumId w:val="96"/>
  </w:num>
  <w:num w:numId="7">
    <w:abstractNumId w:val="97"/>
  </w:num>
  <w:num w:numId="8">
    <w:abstractNumId w:val="28"/>
  </w:num>
  <w:num w:numId="9">
    <w:abstractNumId w:val="92"/>
  </w:num>
  <w:num w:numId="10">
    <w:abstractNumId w:val="7"/>
  </w:num>
  <w:num w:numId="11">
    <w:abstractNumId w:val="98"/>
  </w:num>
  <w:num w:numId="12">
    <w:abstractNumId w:val="80"/>
  </w:num>
  <w:num w:numId="13">
    <w:abstractNumId w:val="2"/>
  </w:num>
  <w:num w:numId="14">
    <w:abstractNumId w:val="99"/>
  </w:num>
  <w:num w:numId="15">
    <w:abstractNumId w:val="36"/>
  </w:num>
  <w:num w:numId="16">
    <w:abstractNumId w:val="15"/>
  </w:num>
  <w:num w:numId="17">
    <w:abstractNumId w:val="12"/>
  </w:num>
  <w:num w:numId="18">
    <w:abstractNumId w:val="45"/>
  </w:num>
  <w:num w:numId="19">
    <w:abstractNumId w:val="148"/>
  </w:num>
  <w:num w:numId="20">
    <w:abstractNumId w:val="10"/>
  </w:num>
  <w:num w:numId="21">
    <w:abstractNumId w:val="22"/>
  </w:num>
  <w:num w:numId="22">
    <w:abstractNumId w:val="75"/>
  </w:num>
  <w:num w:numId="23">
    <w:abstractNumId w:val="24"/>
  </w:num>
  <w:num w:numId="24">
    <w:abstractNumId w:val="147"/>
  </w:num>
  <w:num w:numId="25">
    <w:abstractNumId w:val="14"/>
  </w:num>
  <w:num w:numId="26">
    <w:abstractNumId w:val="23"/>
  </w:num>
  <w:num w:numId="27">
    <w:abstractNumId w:val="66"/>
  </w:num>
  <w:num w:numId="28">
    <w:abstractNumId w:val="46"/>
  </w:num>
  <w:num w:numId="29">
    <w:abstractNumId w:val="100"/>
  </w:num>
  <w:num w:numId="30">
    <w:abstractNumId w:val="101"/>
  </w:num>
  <w:num w:numId="31">
    <w:abstractNumId w:val="102"/>
  </w:num>
  <w:num w:numId="32">
    <w:abstractNumId w:val="131"/>
  </w:num>
  <w:num w:numId="33">
    <w:abstractNumId w:val="132"/>
  </w:num>
  <w:num w:numId="34">
    <w:abstractNumId w:val="129"/>
  </w:num>
  <w:num w:numId="35">
    <w:abstractNumId w:val="128"/>
  </w:num>
  <w:num w:numId="36">
    <w:abstractNumId w:val="103"/>
  </w:num>
  <w:num w:numId="37">
    <w:abstractNumId w:val="118"/>
  </w:num>
  <w:num w:numId="38">
    <w:abstractNumId w:val="104"/>
  </w:num>
  <w:num w:numId="39">
    <w:abstractNumId w:val="130"/>
  </w:num>
  <w:num w:numId="40">
    <w:abstractNumId w:val="105"/>
  </w:num>
  <w:num w:numId="41">
    <w:abstractNumId w:val="106"/>
  </w:num>
  <w:num w:numId="42">
    <w:abstractNumId w:val="107"/>
  </w:num>
  <w:num w:numId="43">
    <w:abstractNumId w:val="108"/>
  </w:num>
  <w:num w:numId="44">
    <w:abstractNumId w:val="109"/>
  </w:num>
  <w:num w:numId="45">
    <w:abstractNumId w:val="110"/>
  </w:num>
  <w:num w:numId="46">
    <w:abstractNumId w:val="133"/>
  </w:num>
  <w:num w:numId="47">
    <w:abstractNumId w:val="5"/>
  </w:num>
  <w:num w:numId="48">
    <w:abstractNumId w:val="119"/>
  </w:num>
  <w:num w:numId="49">
    <w:abstractNumId w:val="18"/>
  </w:num>
  <w:num w:numId="50">
    <w:abstractNumId w:val="57"/>
  </w:num>
  <w:num w:numId="51">
    <w:abstractNumId w:val="111"/>
  </w:num>
  <w:num w:numId="52">
    <w:abstractNumId w:val="112"/>
  </w:num>
  <w:num w:numId="53">
    <w:abstractNumId w:val="120"/>
  </w:num>
  <w:num w:numId="54">
    <w:abstractNumId w:val="113"/>
  </w:num>
  <w:num w:numId="55">
    <w:abstractNumId w:val="114"/>
  </w:num>
  <w:num w:numId="56">
    <w:abstractNumId w:val="115"/>
  </w:num>
  <w:num w:numId="57">
    <w:abstractNumId w:val="116"/>
  </w:num>
  <w:num w:numId="58">
    <w:abstractNumId w:val="117"/>
  </w:num>
  <w:num w:numId="59">
    <w:abstractNumId w:val="35"/>
  </w:num>
  <w:num w:numId="60">
    <w:abstractNumId w:val="65"/>
  </w:num>
  <w:num w:numId="61">
    <w:abstractNumId w:val="51"/>
  </w:num>
  <w:num w:numId="62">
    <w:abstractNumId w:val="50"/>
  </w:num>
  <w:num w:numId="63">
    <w:abstractNumId w:val="44"/>
  </w:num>
  <w:num w:numId="64">
    <w:abstractNumId w:val="149"/>
  </w:num>
  <w:num w:numId="65">
    <w:abstractNumId w:val="72"/>
  </w:num>
  <w:num w:numId="66">
    <w:abstractNumId w:val="135"/>
  </w:num>
  <w:num w:numId="67">
    <w:abstractNumId w:val="81"/>
  </w:num>
  <w:num w:numId="68">
    <w:abstractNumId w:val="48"/>
  </w:num>
  <w:num w:numId="69">
    <w:abstractNumId w:val="155"/>
  </w:num>
  <w:num w:numId="70">
    <w:abstractNumId w:val="143"/>
  </w:num>
  <w:num w:numId="71">
    <w:abstractNumId w:val="33"/>
  </w:num>
  <w:num w:numId="72">
    <w:abstractNumId w:val="136"/>
  </w:num>
  <w:num w:numId="73">
    <w:abstractNumId w:val="61"/>
  </w:num>
  <w:num w:numId="74">
    <w:abstractNumId w:val="63"/>
  </w:num>
  <w:num w:numId="75">
    <w:abstractNumId w:val="76"/>
  </w:num>
  <w:num w:numId="76">
    <w:abstractNumId w:val="138"/>
  </w:num>
  <w:num w:numId="77">
    <w:abstractNumId w:val="134"/>
  </w:num>
  <w:num w:numId="78">
    <w:abstractNumId w:val="39"/>
  </w:num>
  <w:num w:numId="79">
    <w:abstractNumId w:val="69"/>
  </w:num>
  <w:num w:numId="80">
    <w:abstractNumId w:val="141"/>
  </w:num>
  <w:num w:numId="81">
    <w:abstractNumId w:val="43"/>
  </w:num>
  <w:num w:numId="82">
    <w:abstractNumId w:val="77"/>
  </w:num>
  <w:num w:numId="83">
    <w:abstractNumId w:val="41"/>
  </w:num>
  <w:num w:numId="84">
    <w:abstractNumId w:val="157"/>
  </w:num>
  <w:num w:numId="85">
    <w:abstractNumId w:val="37"/>
  </w:num>
  <w:num w:numId="86">
    <w:abstractNumId w:val="85"/>
  </w:num>
  <w:num w:numId="87">
    <w:abstractNumId w:val="56"/>
  </w:num>
  <w:num w:numId="88">
    <w:abstractNumId w:val="68"/>
  </w:num>
  <w:num w:numId="89">
    <w:abstractNumId w:val="83"/>
  </w:num>
  <w:num w:numId="90">
    <w:abstractNumId w:val="140"/>
  </w:num>
  <w:num w:numId="91">
    <w:abstractNumId w:val="73"/>
  </w:num>
  <w:num w:numId="92">
    <w:abstractNumId w:val="19"/>
  </w:num>
  <w:num w:numId="93">
    <w:abstractNumId w:val="121"/>
  </w:num>
  <w:num w:numId="94">
    <w:abstractNumId w:val="150"/>
  </w:num>
  <w:num w:numId="95">
    <w:abstractNumId w:val="145"/>
  </w:num>
  <w:num w:numId="96">
    <w:abstractNumId w:val="54"/>
  </w:num>
  <w:num w:numId="97">
    <w:abstractNumId w:val="74"/>
  </w:num>
  <w:num w:numId="98">
    <w:abstractNumId w:val="32"/>
  </w:num>
  <w:num w:numId="99">
    <w:abstractNumId w:val="79"/>
  </w:num>
  <w:num w:numId="100">
    <w:abstractNumId w:val="21"/>
  </w:num>
  <w:num w:numId="101">
    <w:abstractNumId w:val="86"/>
  </w:num>
  <w:num w:numId="102">
    <w:abstractNumId w:val="62"/>
  </w:num>
  <w:num w:numId="103">
    <w:abstractNumId w:val="156"/>
  </w:num>
  <w:num w:numId="104">
    <w:abstractNumId w:val="11"/>
  </w:num>
  <w:num w:numId="105">
    <w:abstractNumId w:val="34"/>
  </w:num>
  <w:num w:numId="106">
    <w:abstractNumId w:val="71"/>
  </w:num>
  <w:num w:numId="107">
    <w:abstractNumId w:val="64"/>
  </w:num>
  <w:num w:numId="108">
    <w:abstractNumId w:val="60"/>
  </w:num>
  <w:num w:numId="109">
    <w:abstractNumId w:val="146"/>
  </w:num>
  <w:num w:numId="110">
    <w:abstractNumId w:val="154"/>
  </w:num>
  <w:num w:numId="111">
    <w:abstractNumId w:val="55"/>
  </w:num>
  <w:num w:numId="112">
    <w:abstractNumId w:val="144"/>
  </w:num>
  <w:num w:numId="113">
    <w:abstractNumId w:val="139"/>
  </w:num>
  <w:num w:numId="114">
    <w:abstractNumId w:val="59"/>
  </w:num>
  <w:num w:numId="115">
    <w:abstractNumId w:val="82"/>
  </w:num>
  <w:num w:numId="116">
    <w:abstractNumId w:val="20"/>
  </w:num>
  <w:num w:numId="117">
    <w:abstractNumId w:val="78"/>
  </w:num>
  <w:num w:numId="118">
    <w:abstractNumId w:val="31"/>
  </w:num>
  <w:num w:numId="119">
    <w:abstractNumId w:val="42"/>
  </w:num>
  <w:num w:numId="120">
    <w:abstractNumId w:val="70"/>
  </w:num>
  <w:num w:numId="121">
    <w:abstractNumId w:val="49"/>
  </w:num>
  <w:num w:numId="122">
    <w:abstractNumId w:val="122"/>
  </w:num>
  <w:num w:numId="123">
    <w:abstractNumId w:val="125"/>
  </w:num>
  <w:num w:numId="124">
    <w:abstractNumId w:val="126"/>
  </w:num>
  <w:num w:numId="125">
    <w:abstractNumId w:val="152"/>
  </w:num>
  <w:num w:numId="126">
    <w:abstractNumId w:val="153"/>
  </w:num>
  <w:num w:numId="127">
    <w:abstractNumId w:val="142"/>
  </w:num>
  <w:num w:numId="128">
    <w:abstractNumId w:val="30"/>
  </w:num>
  <w:num w:numId="129">
    <w:abstractNumId w:val="124"/>
  </w:num>
  <w:num w:numId="130">
    <w:abstractNumId w:val="38"/>
  </w:num>
  <w:num w:numId="131">
    <w:abstractNumId w:val="3"/>
  </w:num>
  <w:num w:numId="132">
    <w:abstractNumId w:val="6"/>
  </w:num>
  <w:num w:numId="133">
    <w:abstractNumId w:val="1"/>
  </w:num>
  <w:num w:numId="134">
    <w:abstractNumId w:val="67"/>
  </w:num>
  <w:num w:numId="135">
    <w:abstractNumId w:val="127"/>
  </w:num>
  <w:num w:numId="136">
    <w:abstractNumId w:val="123"/>
  </w:num>
  <w:num w:numId="137">
    <w:abstractNumId w:val="26"/>
  </w:num>
  <w:num w:numId="138">
    <w:abstractNumId w:val="84"/>
  </w:num>
  <w:num w:numId="139">
    <w:abstractNumId w:val="52"/>
  </w:num>
  <w:num w:numId="140">
    <w:abstractNumId w:val="137"/>
  </w:num>
  <w:num w:numId="141">
    <w:abstractNumId w:val="89"/>
  </w:num>
  <w:num w:numId="142">
    <w:abstractNumId w:val="0"/>
  </w:num>
  <w:num w:numId="143">
    <w:abstractNumId w:val="17"/>
  </w:num>
  <w:num w:numId="144">
    <w:abstractNumId w:val="29"/>
  </w:num>
  <w:num w:numId="145">
    <w:abstractNumId w:val="87"/>
  </w:num>
  <w:num w:numId="146">
    <w:abstractNumId w:val="88"/>
  </w:num>
  <w:num w:numId="147">
    <w:abstractNumId w:val="13"/>
  </w:num>
  <w:num w:numId="148">
    <w:abstractNumId w:val="9"/>
  </w:num>
  <w:num w:numId="149">
    <w:abstractNumId w:val="27"/>
  </w:num>
  <w:num w:numId="150">
    <w:abstractNumId w:val="47"/>
  </w:num>
  <w:num w:numId="151">
    <w:abstractNumId w:val="25"/>
  </w:num>
  <w:num w:numId="152">
    <w:abstractNumId w:val="4"/>
  </w:num>
  <w:num w:numId="153">
    <w:abstractNumId w:val="16"/>
  </w:num>
  <w:num w:numId="154">
    <w:abstractNumId w:val="40"/>
  </w:num>
  <w:num w:numId="155">
    <w:abstractNumId w:val="90"/>
  </w:num>
  <w:num w:numId="156">
    <w:abstractNumId w:val="53"/>
  </w:num>
  <w:num w:numId="157">
    <w:abstractNumId w:val="151"/>
  </w:num>
  <w:num w:numId="1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1DFD17200007774" w:val=" "/>
    <w:docVar w:name="61E66D630000370C" w:val=" "/>
    <w:docVar w:name="commondata" w:val="eyJoZGlkIjoiOTg5OTFhMjVjZDBiNTQ0ZTkwYTUxMTMyMDk1MzZhYTIifQ=="/>
  </w:docVars>
  <w:rsids>
    <w:rsidRoot w:val="00172A27"/>
    <w:rsid w:val="00083557"/>
    <w:rsid w:val="00093C69"/>
    <w:rsid w:val="003041CA"/>
    <w:rsid w:val="003B4B69"/>
    <w:rsid w:val="003F17BB"/>
    <w:rsid w:val="003F22FC"/>
    <w:rsid w:val="004302E1"/>
    <w:rsid w:val="00444DB4"/>
    <w:rsid w:val="00446015"/>
    <w:rsid w:val="004A2ABC"/>
    <w:rsid w:val="004F0075"/>
    <w:rsid w:val="005204E0"/>
    <w:rsid w:val="00592D9B"/>
    <w:rsid w:val="00697505"/>
    <w:rsid w:val="008073BA"/>
    <w:rsid w:val="00835735"/>
    <w:rsid w:val="00836EBF"/>
    <w:rsid w:val="009553FB"/>
    <w:rsid w:val="009B2BBC"/>
    <w:rsid w:val="00B017E7"/>
    <w:rsid w:val="00B61DF4"/>
    <w:rsid w:val="00BE7AED"/>
    <w:rsid w:val="00CC74FF"/>
    <w:rsid w:val="00CF3203"/>
    <w:rsid w:val="00D337DD"/>
    <w:rsid w:val="00D578B5"/>
    <w:rsid w:val="00E504FE"/>
    <w:rsid w:val="00EA7021"/>
    <w:rsid w:val="00F42669"/>
    <w:rsid w:val="01590F51"/>
    <w:rsid w:val="024F54BB"/>
    <w:rsid w:val="038F5997"/>
    <w:rsid w:val="04E94285"/>
    <w:rsid w:val="04F666E3"/>
    <w:rsid w:val="05366D89"/>
    <w:rsid w:val="0589270A"/>
    <w:rsid w:val="05DF2C44"/>
    <w:rsid w:val="060D176D"/>
    <w:rsid w:val="06394EEC"/>
    <w:rsid w:val="09BF2FE7"/>
    <w:rsid w:val="09CA084E"/>
    <w:rsid w:val="0B0A5EE1"/>
    <w:rsid w:val="0CBF2F8A"/>
    <w:rsid w:val="0CD125EE"/>
    <w:rsid w:val="0E513169"/>
    <w:rsid w:val="0EEF3351"/>
    <w:rsid w:val="0F2A424A"/>
    <w:rsid w:val="10F32051"/>
    <w:rsid w:val="116E0165"/>
    <w:rsid w:val="124860BA"/>
    <w:rsid w:val="125A35E3"/>
    <w:rsid w:val="129D5FBA"/>
    <w:rsid w:val="137317A4"/>
    <w:rsid w:val="13F5604B"/>
    <w:rsid w:val="14B35D63"/>
    <w:rsid w:val="14B7081D"/>
    <w:rsid w:val="152C0045"/>
    <w:rsid w:val="1530364B"/>
    <w:rsid w:val="15F45B71"/>
    <w:rsid w:val="16C85E08"/>
    <w:rsid w:val="17781451"/>
    <w:rsid w:val="179E3AB1"/>
    <w:rsid w:val="19380700"/>
    <w:rsid w:val="198C1FAD"/>
    <w:rsid w:val="1A4B7B54"/>
    <w:rsid w:val="1A5C27D2"/>
    <w:rsid w:val="1A677C0E"/>
    <w:rsid w:val="1A70349E"/>
    <w:rsid w:val="1AB10688"/>
    <w:rsid w:val="1B0D1506"/>
    <w:rsid w:val="1BA934A6"/>
    <w:rsid w:val="1E57048B"/>
    <w:rsid w:val="1E5D4323"/>
    <w:rsid w:val="1F481CBE"/>
    <w:rsid w:val="1FA83A4D"/>
    <w:rsid w:val="20102066"/>
    <w:rsid w:val="21024723"/>
    <w:rsid w:val="21321328"/>
    <w:rsid w:val="216F70C0"/>
    <w:rsid w:val="22672A78"/>
    <w:rsid w:val="23181DD1"/>
    <w:rsid w:val="23A110C0"/>
    <w:rsid w:val="25653602"/>
    <w:rsid w:val="25DB3FF5"/>
    <w:rsid w:val="268D4D31"/>
    <w:rsid w:val="26B96CD7"/>
    <w:rsid w:val="27BE6800"/>
    <w:rsid w:val="27DF2AB1"/>
    <w:rsid w:val="28242182"/>
    <w:rsid w:val="29265499"/>
    <w:rsid w:val="2A0E1ACA"/>
    <w:rsid w:val="2A2177F6"/>
    <w:rsid w:val="2A810A84"/>
    <w:rsid w:val="2B6144E2"/>
    <w:rsid w:val="2B8254B1"/>
    <w:rsid w:val="2BFB2D9E"/>
    <w:rsid w:val="2D4C6B5C"/>
    <w:rsid w:val="2DF81BFA"/>
    <w:rsid w:val="2EFD13E0"/>
    <w:rsid w:val="2F43227C"/>
    <w:rsid w:val="30743AEB"/>
    <w:rsid w:val="307E0671"/>
    <w:rsid w:val="31DD7101"/>
    <w:rsid w:val="323C70E6"/>
    <w:rsid w:val="323E5792"/>
    <w:rsid w:val="32F25F27"/>
    <w:rsid w:val="336700C6"/>
    <w:rsid w:val="34E54456"/>
    <w:rsid w:val="37191CF7"/>
    <w:rsid w:val="39F71DB6"/>
    <w:rsid w:val="3A1A1473"/>
    <w:rsid w:val="3A793877"/>
    <w:rsid w:val="3A8032D6"/>
    <w:rsid w:val="3B271372"/>
    <w:rsid w:val="3B763AF9"/>
    <w:rsid w:val="3C010A9D"/>
    <w:rsid w:val="3C1F0351"/>
    <w:rsid w:val="3C5B09ED"/>
    <w:rsid w:val="3CDD4A2D"/>
    <w:rsid w:val="3DCE4298"/>
    <w:rsid w:val="3DE12FA2"/>
    <w:rsid w:val="3E82276E"/>
    <w:rsid w:val="3F5B1F2E"/>
    <w:rsid w:val="3FD90738"/>
    <w:rsid w:val="40036C26"/>
    <w:rsid w:val="408E2D4C"/>
    <w:rsid w:val="40E77A3D"/>
    <w:rsid w:val="40EB6388"/>
    <w:rsid w:val="426D453F"/>
    <w:rsid w:val="42FD1B6A"/>
    <w:rsid w:val="431D66C0"/>
    <w:rsid w:val="43221E80"/>
    <w:rsid w:val="43AF2914"/>
    <w:rsid w:val="43C57AC2"/>
    <w:rsid w:val="44087DE4"/>
    <w:rsid w:val="44FC48D7"/>
    <w:rsid w:val="454A5202"/>
    <w:rsid w:val="46531CC6"/>
    <w:rsid w:val="465F258D"/>
    <w:rsid w:val="4661396B"/>
    <w:rsid w:val="47F34762"/>
    <w:rsid w:val="47F50AFE"/>
    <w:rsid w:val="48F17873"/>
    <w:rsid w:val="496C35F0"/>
    <w:rsid w:val="49A93797"/>
    <w:rsid w:val="49AB3B95"/>
    <w:rsid w:val="49C36851"/>
    <w:rsid w:val="4AC31541"/>
    <w:rsid w:val="4B52782D"/>
    <w:rsid w:val="4BE16996"/>
    <w:rsid w:val="4C3909BD"/>
    <w:rsid w:val="4C6365F1"/>
    <w:rsid w:val="4D2F5E2F"/>
    <w:rsid w:val="4DEF2B8F"/>
    <w:rsid w:val="4E961F27"/>
    <w:rsid w:val="4EEC7A83"/>
    <w:rsid w:val="4F7A1EAB"/>
    <w:rsid w:val="4FC259A7"/>
    <w:rsid w:val="4FC568D9"/>
    <w:rsid w:val="50B0352C"/>
    <w:rsid w:val="50ED5637"/>
    <w:rsid w:val="514F5288"/>
    <w:rsid w:val="519C3F44"/>
    <w:rsid w:val="51B6629C"/>
    <w:rsid w:val="527348B1"/>
    <w:rsid w:val="52C02AC1"/>
    <w:rsid w:val="531F2E2F"/>
    <w:rsid w:val="555D7062"/>
    <w:rsid w:val="55C52E06"/>
    <w:rsid w:val="55E024B5"/>
    <w:rsid w:val="567D4BC0"/>
    <w:rsid w:val="56A40C6D"/>
    <w:rsid w:val="56F05CB2"/>
    <w:rsid w:val="5701486C"/>
    <w:rsid w:val="58855081"/>
    <w:rsid w:val="59785573"/>
    <w:rsid w:val="59AA1495"/>
    <w:rsid w:val="59AC2D12"/>
    <w:rsid w:val="59BB620D"/>
    <w:rsid w:val="5A905061"/>
    <w:rsid w:val="5BC77E80"/>
    <w:rsid w:val="5BF720D5"/>
    <w:rsid w:val="5C0D3ED5"/>
    <w:rsid w:val="5C180C7F"/>
    <w:rsid w:val="5C9B18A8"/>
    <w:rsid w:val="5D9E51B4"/>
    <w:rsid w:val="5E633C4F"/>
    <w:rsid w:val="60801492"/>
    <w:rsid w:val="61DE5FF2"/>
    <w:rsid w:val="61E20315"/>
    <w:rsid w:val="61E6537B"/>
    <w:rsid w:val="61F60A3B"/>
    <w:rsid w:val="62155931"/>
    <w:rsid w:val="627F3967"/>
    <w:rsid w:val="631D5F85"/>
    <w:rsid w:val="63DC3DD8"/>
    <w:rsid w:val="63EF700F"/>
    <w:rsid w:val="647B3E49"/>
    <w:rsid w:val="647C3A06"/>
    <w:rsid w:val="652135B9"/>
    <w:rsid w:val="6572124C"/>
    <w:rsid w:val="65C16F7F"/>
    <w:rsid w:val="66280975"/>
    <w:rsid w:val="67302B73"/>
    <w:rsid w:val="675C2354"/>
    <w:rsid w:val="68FE1497"/>
    <w:rsid w:val="69A501D5"/>
    <w:rsid w:val="69CE6536"/>
    <w:rsid w:val="6BC74575"/>
    <w:rsid w:val="6CB307C2"/>
    <w:rsid w:val="6CF57271"/>
    <w:rsid w:val="6D5A0E5F"/>
    <w:rsid w:val="6DF36A11"/>
    <w:rsid w:val="6EA3295D"/>
    <w:rsid w:val="6F49178B"/>
    <w:rsid w:val="6FE76AC8"/>
    <w:rsid w:val="70BE7025"/>
    <w:rsid w:val="70EB6212"/>
    <w:rsid w:val="711F29DB"/>
    <w:rsid w:val="71744EC5"/>
    <w:rsid w:val="719B652E"/>
    <w:rsid w:val="71C03CEF"/>
    <w:rsid w:val="72024709"/>
    <w:rsid w:val="726F5FD8"/>
    <w:rsid w:val="72A05284"/>
    <w:rsid w:val="73052EBC"/>
    <w:rsid w:val="73CD639B"/>
    <w:rsid w:val="73DA3249"/>
    <w:rsid w:val="756E4FAB"/>
    <w:rsid w:val="775D5755"/>
    <w:rsid w:val="77A65B79"/>
    <w:rsid w:val="77B245D3"/>
    <w:rsid w:val="788A716A"/>
    <w:rsid w:val="79A441B1"/>
    <w:rsid w:val="79CA5885"/>
    <w:rsid w:val="7A753F5A"/>
    <w:rsid w:val="7C292E61"/>
    <w:rsid w:val="7C3C5E6C"/>
    <w:rsid w:val="7CA327E5"/>
    <w:rsid w:val="7D2D5AD1"/>
    <w:rsid w:val="7E0A4543"/>
    <w:rsid w:val="7E446D0D"/>
    <w:rsid w:val="7E7C2B92"/>
    <w:rsid w:val="7FAC2A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华文宋体" w:cs="Times New Roman"/>
      <w:kern w:val="2"/>
      <w:sz w:val="18"/>
      <w:szCs w:val="22"/>
      <w:lang w:val="en-US" w:eastAsia="zh-CN" w:bidi="ar-SA"/>
    </w:rPr>
  </w:style>
  <w:style w:type="paragraph" w:styleId="4">
    <w:name w:val="heading 1"/>
    <w:basedOn w:val="1"/>
    <w:next w:val="1"/>
    <w:link w:val="39"/>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9"/>
    <w:pPr>
      <w:widowControl w:val="0"/>
      <w:tabs>
        <w:tab w:val="left" w:pos="851"/>
      </w:tabs>
      <w:autoSpaceDE w:val="0"/>
      <w:autoSpaceDN w:val="0"/>
      <w:adjustRightInd w:val="0"/>
      <w:snapToGrid w:val="0"/>
      <w:spacing w:line="360" w:lineRule="auto"/>
      <w:jc w:val="both"/>
      <w:outlineLvl w:val="2"/>
    </w:pPr>
    <w:rPr>
      <w:rFonts w:ascii="宋体" w:cs="宋体"/>
    </w:rPr>
  </w:style>
  <w:style w:type="paragraph" w:styleId="7">
    <w:name w:val="heading 4"/>
    <w:basedOn w:val="1"/>
    <w:next w:val="1"/>
    <w:qFormat/>
    <w:uiPriority w:val="0"/>
    <w:pPr>
      <w:widowControl w:val="0"/>
      <w:autoSpaceDE w:val="0"/>
      <w:autoSpaceDN w:val="0"/>
      <w:adjustRightInd w:val="0"/>
      <w:snapToGrid w:val="0"/>
      <w:spacing w:line="360" w:lineRule="auto"/>
      <w:jc w:val="both"/>
      <w:outlineLvl w:val="3"/>
    </w:pPr>
    <w:rPr>
      <w:rFonts w:ascii="宋体" w:hAnsi="Arial" w:cs="宋体"/>
      <w:color w:val="000000"/>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afterLines="0"/>
    </w:pPr>
    <w:rPr>
      <w:rFonts w:ascii="Tahoma" w:hAnsi="Tahoma"/>
      <w:szCs w:val="20"/>
    </w:rPr>
  </w:style>
  <w:style w:type="paragraph" w:styleId="3">
    <w:name w:val="Title"/>
    <w:basedOn w:val="1"/>
    <w:next w:val="1"/>
    <w:link w:val="38"/>
    <w:qFormat/>
    <w:uiPriority w:val="0"/>
    <w:pPr>
      <w:spacing w:before="240" w:after="60"/>
      <w:jc w:val="center"/>
      <w:outlineLvl w:val="0"/>
    </w:pPr>
    <w:rPr>
      <w:rFonts w:ascii="Cambria" w:hAnsi="Cambria" w:eastAsia="仿宋体"/>
      <w:b/>
      <w:bCs/>
      <w:sz w:val="32"/>
      <w:szCs w:val="32"/>
    </w:rPr>
  </w:style>
  <w:style w:type="paragraph" w:styleId="8">
    <w:name w:val="Normal Indent"/>
    <w:basedOn w:val="1"/>
    <w:next w:val="9"/>
    <w:link w:val="40"/>
    <w:qFormat/>
    <w:uiPriority w:val="0"/>
    <w:pPr>
      <w:ind w:firstLine="420"/>
    </w:pPr>
    <w:rPr>
      <w:kern w:val="0"/>
      <w:szCs w:val="20"/>
    </w:rPr>
  </w:style>
  <w:style w:type="paragraph" w:customStyle="1" w:styleId="9">
    <w:name w:val="Default"/>
    <w:qFormat/>
    <w:uiPriority w:val="99"/>
    <w:pPr>
      <w:autoSpaceDE w:val="0"/>
      <w:autoSpaceDN w:val="0"/>
      <w:adjustRightInd w:val="0"/>
    </w:pPr>
    <w:rPr>
      <w:rFonts w:ascii="宋体" w:hAnsi="Times New Roman" w:eastAsia="宋体" w:cs="宋体"/>
      <w:color w:val="000000"/>
      <w:sz w:val="24"/>
      <w:szCs w:val="24"/>
      <w:lang w:val="en-US" w:eastAsia="zh-CN" w:bidi="ar-SA"/>
    </w:rPr>
  </w:style>
  <w:style w:type="paragraph" w:styleId="10">
    <w:name w:val="Document Map"/>
    <w:basedOn w:val="1"/>
    <w:link w:val="41"/>
    <w:qFormat/>
    <w:uiPriority w:val="0"/>
    <w:rPr>
      <w:rFonts w:ascii="宋体" w:hAnsi="Times New Roman" w:eastAsia="宋体"/>
      <w:szCs w:val="18"/>
    </w:rPr>
  </w:style>
  <w:style w:type="paragraph" w:styleId="11">
    <w:name w:val="toa heading"/>
    <w:basedOn w:val="1"/>
    <w:next w:val="1"/>
    <w:qFormat/>
    <w:uiPriority w:val="0"/>
    <w:pPr>
      <w:spacing w:before="120"/>
    </w:pPr>
    <w:rPr>
      <w:rFonts w:ascii="Arial" w:hAnsi="Arial"/>
      <w:sz w:val="24"/>
    </w:rPr>
  </w:style>
  <w:style w:type="paragraph" w:styleId="12">
    <w:name w:val="annotation text"/>
    <w:basedOn w:val="1"/>
    <w:link w:val="42"/>
    <w:qFormat/>
    <w:uiPriority w:val="0"/>
    <w:pPr>
      <w:widowControl w:val="0"/>
    </w:pPr>
    <w:rPr>
      <w:szCs w:val="24"/>
    </w:rPr>
  </w:style>
  <w:style w:type="paragraph" w:styleId="13">
    <w:name w:val="Body Text Indent"/>
    <w:basedOn w:val="1"/>
    <w:link w:val="43"/>
    <w:qFormat/>
    <w:uiPriority w:val="0"/>
    <w:pPr>
      <w:spacing w:after="120" w:afterLines="0"/>
      <w:ind w:left="420" w:leftChars="200"/>
    </w:pPr>
  </w:style>
  <w:style w:type="paragraph" w:styleId="14">
    <w:name w:val="List 2"/>
    <w:basedOn w:val="1"/>
    <w:qFormat/>
    <w:uiPriority w:val="0"/>
    <w:pPr>
      <w:ind w:left="100" w:leftChars="200" w:hanging="200" w:hangingChars="200"/>
    </w:pPr>
    <w:rPr>
      <w:rFonts w:ascii="Calibri" w:hAnsi="Calibri"/>
      <w:szCs w:val="22"/>
    </w:r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kern w:val="0"/>
      <w:szCs w:val="21"/>
    </w:rPr>
  </w:style>
  <w:style w:type="paragraph" w:styleId="17">
    <w:name w:val="Date"/>
    <w:basedOn w:val="1"/>
    <w:next w:val="1"/>
    <w:qFormat/>
    <w:uiPriority w:val="99"/>
    <w:pPr>
      <w:widowControl w:val="0"/>
      <w:jc w:val="both"/>
    </w:pPr>
    <w:rPr>
      <w:rFonts w:hint="eastAsia" w:ascii="楷体_GB2312" w:eastAsia="楷体_GB2312"/>
      <w:sz w:val="28"/>
    </w:rPr>
  </w:style>
  <w:style w:type="paragraph" w:styleId="18">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19">
    <w:name w:val="Balloon Text"/>
    <w:basedOn w:val="1"/>
    <w:link w:val="44"/>
    <w:qFormat/>
    <w:uiPriority w:val="0"/>
    <w:rPr>
      <w:sz w:val="18"/>
      <w:szCs w:val="18"/>
    </w:rPr>
  </w:style>
  <w:style w:type="paragraph" w:styleId="20">
    <w:name w:val="footer"/>
    <w:basedOn w:val="1"/>
    <w:qFormat/>
    <w:uiPriority w:val="0"/>
    <w:pPr>
      <w:tabs>
        <w:tab w:val="center" w:pos="4153"/>
        <w:tab w:val="right" w:pos="8306"/>
      </w:tabs>
      <w:snapToGrid w:val="0"/>
    </w:pPr>
    <w:rPr>
      <w:sz w:val="18"/>
    </w:rPr>
  </w:style>
  <w:style w:type="paragraph" w:styleId="21">
    <w:name w:val="header"/>
    <w:basedOn w:val="1"/>
    <w:link w:val="45"/>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spacing w:line="360" w:lineRule="auto"/>
      <w:ind w:left="824" w:hanging="824"/>
    </w:pPr>
    <w:rPr>
      <w:rFonts w:ascii="宋体"/>
    </w:rPr>
  </w:style>
  <w:style w:type="paragraph" w:styleId="23">
    <w:name w:val="index heading"/>
    <w:basedOn w:val="1"/>
    <w:next w:val="24"/>
    <w:qFormat/>
    <w:uiPriority w:val="0"/>
    <w:rPr>
      <w:rFonts w:ascii="Times New Roman" w:hAnsi="Times New Roman" w:eastAsia="宋体" w:cs="Times New Roman"/>
      <w:szCs w:val="20"/>
    </w:rPr>
  </w:style>
  <w:style w:type="paragraph" w:styleId="24">
    <w:name w:val="index 1"/>
    <w:basedOn w:val="1"/>
    <w:next w:val="1"/>
    <w:qFormat/>
    <w:uiPriority w:val="0"/>
    <w:pPr>
      <w:tabs>
        <w:tab w:val="left" w:pos="7740"/>
      </w:tabs>
      <w:jc w:val="center"/>
    </w:pPr>
    <w:rPr>
      <w:rFonts w:ascii="仿宋" w:hAnsi="仿宋" w:eastAsia="仿宋" w:cs="Times New Roman"/>
      <w:b/>
      <w:sz w:val="28"/>
      <w:szCs w:val="28"/>
    </w:r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unhideWhenUsed/>
    <w:qFormat/>
    <w:uiPriority w:val="39"/>
    <w:pPr>
      <w:ind w:left="420" w:leftChars="200"/>
    </w:pPr>
  </w:style>
  <w:style w:type="paragraph" w:styleId="27">
    <w:name w:val="Normal (Web)"/>
    <w:basedOn w:val="1"/>
    <w:qFormat/>
    <w:uiPriority w:val="0"/>
    <w:pPr>
      <w:spacing w:before="100" w:beforeLines="0" w:beforeAutospacing="1" w:after="100" w:afterLines="0" w:afterAutospacing="1"/>
    </w:pPr>
    <w:rPr>
      <w:rFonts w:ascii="宋体" w:hAnsi="宋体" w:cs="宋体"/>
      <w:sz w:val="24"/>
      <w:szCs w:val="24"/>
    </w:rPr>
  </w:style>
  <w:style w:type="paragraph" w:styleId="28">
    <w:name w:val="annotation subject"/>
    <w:basedOn w:val="12"/>
    <w:next w:val="12"/>
    <w:link w:val="46"/>
    <w:qFormat/>
    <w:uiPriority w:val="0"/>
    <w:pPr>
      <w:jc w:val="left"/>
    </w:pPr>
    <w:rPr>
      <w:b/>
      <w:bCs/>
      <w:szCs w:val="22"/>
    </w:rPr>
  </w:style>
  <w:style w:type="paragraph" w:styleId="29">
    <w:name w:val="Body Text First Indent"/>
    <w:basedOn w:val="2"/>
    <w:qFormat/>
    <w:uiPriority w:val="0"/>
    <w:pPr>
      <w:ind w:firstLine="420" w:firstLineChars="1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style>
  <w:style w:type="character" w:styleId="35">
    <w:name w:val="FollowedHyperlink"/>
    <w:qFormat/>
    <w:uiPriority w:val="0"/>
    <w:rPr>
      <w:rFonts w:hint="eastAsia" w:ascii="微软雅黑" w:hAnsi="微软雅黑" w:eastAsia="微软雅黑" w:cs="微软雅黑"/>
      <w:color w:val="02396F"/>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标题 字符"/>
    <w:link w:val="3"/>
    <w:qFormat/>
    <w:uiPriority w:val="0"/>
    <w:rPr>
      <w:rFonts w:ascii="Cambria" w:hAnsi="Cambria" w:eastAsia="仿宋体"/>
      <w:b/>
      <w:bCs/>
      <w:kern w:val="2"/>
      <w:sz w:val="32"/>
      <w:szCs w:val="32"/>
    </w:rPr>
  </w:style>
  <w:style w:type="character" w:customStyle="1" w:styleId="39">
    <w:name w:val="标题 1 字符"/>
    <w:link w:val="4"/>
    <w:qFormat/>
    <w:uiPriority w:val="0"/>
    <w:rPr>
      <w:b/>
      <w:bCs/>
      <w:kern w:val="44"/>
      <w:sz w:val="44"/>
      <w:szCs w:val="44"/>
    </w:rPr>
  </w:style>
  <w:style w:type="character" w:customStyle="1" w:styleId="40">
    <w:name w:val="正文缩进 字符"/>
    <w:link w:val="8"/>
    <w:qFormat/>
    <w:uiPriority w:val="0"/>
    <w:rPr>
      <w:kern w:val="0"/>
      <w:szCs w:val="20"/>
    </w:rPr>
  </w:style>
  <w:style w:type="character" w:customStyle="1" w:styleId="41">
    <w:name w:val="文档结构图 字符"/>
    <w:link w:val="10"/>
    <w:qFormat/>
    <w:uiPriority w:val="0"/>
    <w:rPr>
      <w:rFonts w:ascii="宋体"/>
      <w:kern w:val="2"/>
      <w:sz w:val="18"/>
      <w:szCs w:val="18"/>
    </w:rPr>
  </w:style>
  <w:style w:type="character" w:customStyle="1" w:styleId="42">
    <w:name w:val="批注文字 字符"/>
    <w:link w:val="12"/>
    <w:qFormat/>
    <w:uiPriority w:val="0"/>
    <w:rPr>
      <w:rFonts w:ascii="仿宋" w:hAnsi="仿宋" w:eastAsia="华文宋体"/>
      <w:kern w:val="2"/>
      <w:sz w:val="18"/>
      <w:szCs w:val="24"/>
    </w:rPr>
  </w:style>
  <w:style w:type="character" w:customStyle="1" w:styleId="43">
    <w:name w:val="正文文本缩进 字符"/>
    <w:link w:val="13"/>
    <w:qFormat/>
    <w:uiPriority w:val="0"/>
  </w:style>
  <w:style w:type="character" w:customStyle="1" w:styleId="44">
    <w:name w:val="批注框文本 字符"/>
    <w:link w:val="19"/>
    <w:qFormat/>
    <w:uiPriority w:val="0"/>
    <w:rPr>
      <w:kern w:val="2"/>
      <w:sz w:val="18"/>
      <w:szCs w:val="18"/>
    </w:rPr>
  </w:style>
  <w:style w:type="character" w:customStyle="1" w:styleId="45">
    <w:name w:val="页眉 字符"/>
    <w:link w:val="21"/>
    <w:qFormat/>
    <w:uiPriority w:val="0"/>
    <w:rPr>
      <w:rFonts w:ascii="仿宋" w:hAnsi="仿宋" w:eastAsia="华文宋体"/>
      <w:kern w:val="2"/>
      <w:sz w:val="18"/>
      <w:szCs w:val="22"/>
    </w:rPr>
  </w:style>
  <w:style w:type="character" w:customStyle="1" w:styleId="46">
    <w:name w:val="批注主题 字符"/>
    <w:link w:val="28"/>
    <w:qFormat/>
    <w:uiPriority w:val="0"/>
    <w:rPr>
      <w:rFonts w:ascii="仿宋" w:hAnsi="仿宋" w:eastAsia="华文宋体"/>
      <w:b/>
      <w:bCs/>
      <w:kern w:val="2"/>
      <w:sz w:val="18"/>
      <w:szCs w:val="22"/>
    </w:rPr>
  </w:style>
  <w:style w:type="paragraph" w:customStyle="1" w:styleId="47">
    <w:name w:val="_Style 3"/>
    <w:next w:val="2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8">
    <w:name w:val="font01"/>
    <w:qFormat/>
    <w:uiPriority w:val="0"/>
    <w:rPr>
      <w:rFonts w:hint="eastAsia" w:ascii="宋体" w:hAnsi="宋体" w:eastAsia="宋体" w:cs="宋体"/>
      <w:color w:val="000000"/>
      <w:sz w:val="20"/>
      <w:szCs w:val="20"/>
      <w:u w:val="none"/>
    </w:rPr>
  </w:style>
  <w:style w:type="character" w:customStyle="1" w:styleId="49">
    <w:name w:val="p141"/>
    <w:qFormat/>
    <w:uiPriority w:val="0"/>
    <w:rPr>
      <w:sz w:val="21"/>
      <w:szCs w:val="21"/>
    </w:rPr>
  </w:style>
  <w:style w:type="paragraph" w:customStyle="1" w:styleId="50">
    <w:name w:val="表格文字"/>
    <w:basedOn w:val="1"/>
    <w:qFormat/>
    <w:uiPriority w:val="0"/>
    <w:pPr>
      <w:spacing w:before="25" w:beforeLines="0" w:after="25" w:afterLines="0"/>
      <w:jc w:val="left"/>
    </w:pPr>
    <w:rPr>
      <w:bCs/>
      <w:spacing w:val="10"/>
      <w:kern w:val="0"/>
      <w:sz w:val="24"/>
      <w:szCs w:val="20"/>
    </w:rPr>
  </w:style>
  <w:style w:type="paragraph" w:styleId="51">
    <w:name w:val="List Paragraph"/>
    <w:basedOn w:val="1"/>
    <w:qFormat/>
    <w:uiPriority w:val="34"/>
    <w:pPr>
      <w:ind w:firstLine="420" w:firstLineChars="200"/>
    </w:pPr>
    <w:rPr>
      <w:rFonts w:ascii="Calibri" w:hAnsi="Calibri" w:eastAsia="宋体"/>
    </w:rPr>
  </w:style>
  <w:style w:type="paragraph" w:customStyle="1" w:styleId="52">
    <w:name w:val="正文_0"/>
    <w:qFormat/>
    <w:uiPriority w:val="0"/>
    <w:rPr>
      <w:rFonts w:ascii="Times New Roman" w:hAnsi="Times New Roman" w:eastAsia="宋体" w:cs="Times New Roman"/>
      <w:sz w:val="21"/>
      <w:lang w:val="en-US" w:eastAsia="zh-CN" w:bidi="ar-SA"/>
    </w:rPr>
  </w:style>
  <w:style w:type="paragraph" w:customStyle="1" w:styleId="5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标题 4_0"/>
    <w:basedOn w:val="53"/>
    <w:next w:val="53"/>
    <w:qFormat/>
    <w:uiPriority w:val="0"/>
    <w:pPr>
      <w:keepNext/>
      <w:keepLines/>
      <w:spacing w:before="280" w:after="290" w:line="376" w:lineRule="auto"/>
      <w:outlineLvl w:val="3"/>
    </w:pPr>
    <w:rPr>
      <w:rFonts w:ascii="Cambria" w:hAnsi="Cambria"/>
      <w:b/>
      <w:bCs/>
      <w:sz w:val="28"/>
      <w:szCs w:val="28"/>
    </w:rPr>
  </w:style>
  <w:style w:type="paragraph" w:customStyle="1" w:styleId="55">
    <w:name w:val="一级标题"/>
    <w:basedOn w:val="1"/>
    <w:qFormat/>
    <w:uiPriority w:val="0"/>
    <w:pPr>
      <w:numPr>
        <w:ilvl w:val="0"/>
        <w:numId w:val="1"/>
      </w:numPr>
      <w:jc w:val="left"/>
      <w:outlineLvl w:val="0"/>
    </w:pPr>
    <w:rPr>
      <w:rFonts w:ascii="黑体" w:hAnsi="宋体" w:eastAsia="黑体" w:cs="Times New Roman"/>
      <w:sz w:val="30"/>
      <w:szCs w:val="30"/>
    </w:rPr>
  </w:style>
  <w:style w:type="paragraph" w:customStyle="1" w:styleId="56">
    <w:name w:val="正文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7">
    <w:name w:val="列出段落1"/>
    <w:basedOn w:val="52"/>
    <w:next w:val="11"/>
    <w:qFormat/>
    <w:uiPriority w:val="0"/>
    <w:pPr>
      <w:ind w:firstLine="420" w:firstLineChars="200"/>
    </w:pPr>
  </w:style>
  <w:style w:type="paragraph" w:customStyle="1" w:styleId="58">
    <w:name w:val="图"/>
    <w:basedOn w:val="1"/>
    <w:qFormat/>
    <w:uiPriority w:val="0"/>
    <w:pPr>
      <w:keepNext/>
      <w:widowControl w:val="0"/>
      <w:adjustRightInd w:val="0"/>
      <w:spacing w:before="60" w:beforeLines="0" w:after="60" w:afterLines="0" w:line="300" w:lineRule="auto"/>
      <w:jc w:val="center"/>
      <w:textAlignment w:val="center"/>
    </w:pPr>
    <w:rPr>
      <w:snapToGrid w:val="0"/>
      <w:spacing w:val="20"/>
      <w:sz w:val="24"/>
    </w:rPr>
  </w:style>
  <w:style w:type="paragraph" w:customStyle="1" w:styleId="59">
    <w:name w:val="Table Paragraph"/>
    <w:basedOn w:val="1"/>
    <w:qFormat/>
    <w:uiPriority w:val="1"/>
    <w:rPr>
      <w:rFonts w:ascii="Noto Sans CJK JP Regular" w:hAnsi="Noto Sans CJK JP Regular" w:eastAsia="Noto Sans CJK JP Regular" w:cs="Noto Sans CJK JP Regular"/>
    </w:rPr>
  </w:style>
  <w:style w:type="character" w:customStyle="1" w:styleId="60">
    <w:name w:val="cfdate"/>
    <w:qFormat/>
    <w:uiPriority w:val="0"/>
    <w:rPr>
      <w:color w:val="333333"/>
      <w:sz w:val="14"/>
      <w:szCs w:val="14"/>
    </w:rPr>
  </w:style>
  <w:style w:type="character" w:customStyle="1" w:styleId="61">
    <w:name w:val="redfilefwwh"/>
    <w:qFormat/>
    <w:uiPriority w:val="0"/>
    <w:rPr>
      <w:color w:val="BA2636"/>
      <w:sz w:val="14"/>
      <w:szCs w:val="14"/>
    </w:rPr>
  </w:style>
  <w:style w:type="character" w:customStyle="1" w:styleId="62">
    <w:name w:val="qxdate"/>
    <w:qFormat/>
    <w:uiPriority w:val="0"/>
    <w:rPr>
      <w:color w:val="333333"/>
      <w:sz w:val="14"/>
      <w:szCs w:val="14"/>
    </w:rPr>
  </w:style>
  <w:style w:type="character" w:customStyle="1" w:styleId="63">
    <w:name w:val="prev1"/>
    <w:qFormat/>
    <w:uiPriority w:val="0"/>
    <w:rPr>
      <w:color w:val="888888"/>
    </w:rPr>
  </w:style>
  <w:style w:type="character" w:customStyle="1" w:styleId="64">
    <w:name w:val="next1"/>
    <w:qFormat/>
    <w:uiPriority w:val="0"/>
    <w:rPr>
      <w:color w:val="888888"/>
    </w:rPr>
  </w:style>
  <w:style w:type="character" w:customStyle="1" w:styleId="65">
    <w:name w:val="displayarti"/>
    <w:qFormat/>
    <w:uiPriority w:val="0"/>
    <w:rPr>
      <w:color w:val="FFFFFF"/>
      <w:shd w:val="clear" w:color="auto" w:fill="A00000"/>
    </w:rPr>
  </w:style>
  <w:style w:type="character" w:customStyle="1" w:styleId="66">
    <w:name w:val="gjfg"/>
    <w:qFormat/>
    <w:uiPriority w:val="0"/>
  </w:style>
  <w:style w:type="character" w:customStyle="1" w:styleId="67">
    <w:name w:val="prev"/>
    <w:qFormat/>
    <w:uiPriority w:val="0"/>
    <w:rPr>
      <w:rFonts w:hint="eastAsia" w:ascii="微软雅黑" w:hAnsi="微软雅黑" w:eastAsia="微软雅黑" w:cs="微软雅黑"/>
      <w:sz w:val="16"/>
      <w:szCs w:val="16"/>
    </w:rPr>
  </w:style>
  <w:style w:type="character" w:customStyle="1" w:styleId="68">
    <w:name w:val="redfilenumber"/>
    <w:qFormat/>
    <w:uiPriority w:val="0"/>
    <w:rPr>
      <w:color w:val="BA2636"/>
      <w:sz w:val="14"/>
      <w:szCs w:val="14"/>
    </w:rPr>
  </w:style>
  <w:style w:type="character" w:customStyle="1" w:styleId="69">
    <w:name w:val="next"/>
    <w:qFormat/>
    <w:uiPriority w:val="0"/>
    <w:rPr>
      <w:rFonts w:ascii="微软雅黑" w:hAnsi="微软雅黑" w:eastAsia="微软雅黑" w:cs="微软雅黑"/>
      <w:sz w:val="16"/>
      <w:szCs w:val="16"/>
    </w:rPr>
  </w:style>
  <w:style w:type="character" w:customStyle="1" w:styleId="70">
    <w:name w:val="font61"/>
    <w:qFormat/>
    <w:uiPriority w:val="0"/>
    <w:rPr>
      <w:rFonts w:hint="default" w:ascii="Times New Roman" w:hAnsi="Times New Roman" w:cs="Times New Roman"/>
      <w:color w:val="000000"/>
      <w:sz w:val="22"/>
      <w:szCs w:val="22"/>
      <w:u w:val="none"/>
    </w:rPr>
  </w:style>
  <w:style w:type="character" w:customStyle="1" w:styleId="71">
    <w:name w:val="font71"/>
    <w:qFormat/>
    <w:uiPriority w:val="0"/>
    <w:rPr>
      <w:rFonts w:hint="eastAsia" w:ascii="宋体" w:hAnsi="宋体" w:eastAsia="宋体" w:cs="宋体"/>
      <w:color w:val="000000"/>
      <w:sz w:val="22"/>
      <w:szCs w:val="22"/>
      <w:u w:val="none"/>
    </w:rPr>
  </w:style>
  <w:style w:type="character" w:customStyle="1" w:styleId="72">
    <w:name w:val="font21"/>
    <w:qFormat/>
    <w:uiPriority w:val="0"/>
    <w:rPr>
      <w:rFonts w:hint="default" w:ascii="Times New Roman" w:hAnsi="Times New Roman" w:cs="Times New Roman"/>
      <w:color w:val="000000"/>
      <w:sz w:val="22"/>
      <w:szCs w:val="22"/>
      <w:u w:val="none"/>
    </w:rPr>
  </w:style>
  <w:style w:type="character" w:customStyle="1" w:styleId="73">
    <w:name w:val="font81"/>
    <w:qFormat/>
    <w:uiPriority w:val="0"/>
    <w:rPr>
      <w:rFonts w:hint="eastAsia" w:ascii="宋体" w:hAnsi="宋体" w:eastAsia="宋体" w:cs="宋体"/>
      <w:color w:val="000000"/>
      <w:sz w:val="22"/>
      <w:szCs w:val="22"/>
      <w:u w:val="none"/>
    </w:rPr>
  </w:style>
  <w:style w:type="character" w:customStyle="1" w:styleId="74">
    <w:name w:val="font91"/>
    <w:qFormat/>
    <w:uiPriority w:val="0"/>
    <w:rPr>
      <w:rFonts w:hint="default" w:ascii="Times New Roman" w:hAnsi="Times New Roman" w:cs="Times New Roman"/>
      <w:color w:val="000000"/>
      <w:sz w:val="22"/>
      <w:szCs w:val="22"/>
      <w:u w:val="none"/>
    </w:rPr>
  </w:style>
  <w:style w:type="character" w:customStyle="1" w:styleId="75">
    <w:name w:val="font41"/>
    <w:qFormat/>
    <w:uiPriority w:val="0"/>
    <w:rPr>
      <w:rFonts w:hint="eastAsia" w:ascii="宋体" w:hAnsi="宋体" w:eastAsia="宋体" w:cs="宋体"/>
      <w:color w:val="000000"/>
      <w:sz w:val="22"/>
      <w:szCs w:val="22"/>
      <w:u w:val="none"/>
    </w:rPr>
  </w:style>
  <w:style w:type="paragraph" w:customStyle="1" w:styleId="76">
    <w:name w:val="正文_0_0"/>
    <w:next w:val="47"/>
    <w:qFormat/>
    <w:uiPriority w:val="0"/>
    <w:rPr>
      <w:rFonts w:ascii="Times New Roman" w:hAnsi="Times New Roman" w:eastAsia="宋体" w:cs="Times New Roman"/>
      <w:sz w:val="21"/>
      <w:lang w:val="en-US" w:eastAsia="zh-CN" w:bidi="ar-SA"/>
    </w:rPr>
  </w:style>
  <w:style w:type="paragraph" w:customStyle="1" w:styleId="77">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8">
    <w:name w:val="列表段落1"/>
    <w:basedOn w:val="1"/>
    <w:qFormat/>
    <w:uiPriority w:val="34"/>
    <w:pPr>
      <w:ind w:firstLine="420" w:firstLineChars="200"/>
    </w:pPr>
    <w:rPr>
      <w:rFonts w:ascii="Times New Roman" w:hAnsi="Times New Roman" w:eastAsia="仿宋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48082</Words>
  <Characters>53163</Characters>
  <Lines>435</Lines>
  <Paragraphs>122</Paragraphs>
  <TotalTime>3</TotalTime>
  <ScaleCrop>false</ScaleCrop>
  <LinksUpToDate>false</LinksUpToDate>
  <CharactersWithSpaces>56047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2023-04-16T13:15:00Z</dcterms:created>
  <dc:creator>公采</dc:creator>
  <cp:lastModifiedBy>公采</cp:lastModifiedBy>
  <dcterms:modified xsi:type="dcterms:W3CDTF">2023-04-25T08:04:02Z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3FE45DFB8A50472A96FC3D894D5EC040_13</vt:lpwstr>
  </property>
</Properties>
</file>