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ind w:firstLine="0" w:firstLineChars="0"/>
        <w:jc w:val="center"/>
        <w:rPr>
          <w:rFonts w:hint="default" w:ascii="Times New Roman" w:hAnsi="Times New Roman" w:eastAsia="宋体" w:cs="Times New Roman"/>
          <w:b/>
          <w:bCs/>
          <w:color w:val="000000"/>
          <w:sz w:val="44"/>
          <w:szCs w:val="44"/>
        </w:rPr>
      </w:pPr>
    </w:p>
    <w:p>
      <w:pPr>
        <w:spacing w:line="520" w:lineRule="atLeast"/>
        <w:ind w:firstLine="0" w:firstLineChars="0"/>
        <w:jc w:val="center"/>
        <w:rPr>
          <w:rFonts w:hint="default" w:ascii="Times New Roman" w:hAnsi="Times New Roman" w:eastAsia="宋体" w:cs="Times New Roman"/>
          <w:b/>
          <w:bCs/>
          <w:color w:val="000000"/>
          <w:sz w:val="44"/>
          <w:szCs w:val="44"/>
        </w:rPr>
      </w:pPr>
      <w:bookmarkStart w:id="0" w:name="_GoBack"/>
      <w:r>
        <w:rPr>
          <w:rFonts w:hint="default" w:ascii="Times New Roman" w:hAnsi="Times New Roman" w:eastAsia="宋体" w:cs="Times New Roman"/>
          <w:b/>
          <w:bCs/>
          <w:color w:val="000000"/>
          <w:sz w:val="44"/>
          <w:szCs w:val="44"/>
        </w:rPr>
        <w:t>广州市政府集中采购目录及</w:t>
      </w:r>
      <w:r>
        <w:rPr>
          <w:rFonts w:hint="default" w:ascii="Times New Roman" w:hAnsi="Times New Roman" w:eastAsia="宋体" w:cs="Times New Roman"/>
          <w:b/>
          <w:bCs/>
          <w:color w:val="000000"/>
          <w:sz w:val="44"/>
          <w:szCs w:val="44"/>
          <w:lang w:eastAsia="zh-CN"/>
        </w:rPr>
        <w:t>采购限额</w:t>
      </w:r>
      <w:r>
        <w:rPr>
          <w:rFonts w:hint="default" w:ascii="Times New Roman" w:hAnsi="Times New Roman" w:eastAsia="宋体" w:cs="Times New Roman"/>
          <w:b/>
          <w:bCs/>
          <w:color w:val="000000"/>
          <w:sz w:val="44"/>
          <w:szCs w:val="44"/>
        </w:rPr>
        <w:t>标准（2020年版）</w:t>
      </w:r>
    </w:p>
    <w:bookmarkEnd w:id="0"/>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eastAsia="黑体" w:cs="Times New Roman"/>
          <w:color w:val="000000"/>
        </w:rPr>
      </w:pPr>
      <w:r>
        <w:rPr>
          <w:rFonts w:hint="default" w:ascii="Times New Roman" w:hAnsi="Times New Roman" w:eastAsia="黑体" w:cs="Times New Roman"/>
          <w:color w:val="000000"/>
        </w:rPr>
        <w:t>一、集中采购目录</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凡纳入集中采购目录的项目均须按规定委托集中采购机构</w:t>
      </w:r>
    </w:p>
    <w:p>
      <w:pPr>
        <w:keepNext w:val="0"/>
        <w:keepLines w:val="0"/>
        <w:pageBreakBefore w:val="0"/>
        <w:kinsoku/>
        <w:wordWrap/>
        <w:overflowPunct/>
        <w:topLinePunct w:val="0"/>
        <w:autoSpaceDE/>
        <w:autoSpaceDN/>
        <w:bidi w:val="0"/>
        <w:adjustRightInd w:val="0"/>
        <w:snapToGrid w:val="0"/>
        <w:spacing w:line="520" w:lineRule="atLeast"/>
        <w:rPr>
          <w:rFonts w:hint="default" w:ascii="Times New Roman" w:hAnsi="Times New Roman" w:cs="Times New Roman"/>
          <w:color w:val="000000"/>
        </w:rPr>
      </w:pPr>
      <w:r>
        <w:rPr>
          <w:rFonts w:hint="default" w:ascii="Times New Roman" w:hAnsi="Times New Roman" w:cs="Times New Roman"/>
          <w:color w:val="000000"/>
        </w:rPr>
        <w:t>采购。</w:t>
      </w:r>
    </w:p>
    <w:tbl>
      <w:tblPr>
        <w:tblStyle w:val="4"/>
        <w:tblW w:w="0" w:type="auto"/>
        <w:tblInd w:w="0" w:type="dxa"/>
        <w:tblLayout w:type="fixed"/>
        <w:tblCellMar>
          <w:top w:w="0" w:type="dxa"/>
          <w:left w:w="0" w:type="dxa"/>
          <w:bottom w:w="0" w:type="dxa"/>
          <w:right w:w="0" w:type="dxa"/>
        </w:tblCellMar>
      </w:tblPr>
      <w:tblGrid>
        <w:gridCol w:w="822"/>
        <w:gridCol w:w="2929"/>
        <w:gridCol w:w="2351"/>
        <w:gridCol w:w="3221"/>
      </w:tblGrid>
      <w:tr>
        <w:tblPrEx>
          <w:tblCellMar>
            <w:top w:w="0" w:type="dxa"/>
            <w:left w:w="0" w:type="dxa"/>
            <w:bottom w:w="0" w:type="dxa"/>
            <w:right w:w="0" w:type="dxa"/>
          </w:tblCellMar>
        </w:tblPrEx>
        <w:trPr>
          <w:trHeight w:val="686" w:hRule="atLeast"/>
        </w:trPr>
        <w:tc>
          <w:tcPr>
            <w:tcW w:w="822"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lang w:bidi="ar"/>
              </w:rPr>
              <w:t>序号</w:t>
            </w:r>
          </w:p>
        </w:tc>
        <w:tc>
          <w:tcPr>
            <w:tcW w:w="2929"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lang w:bidi="ar"/>
              </w:rPr>
              <w:t>品目</w:t>
            </w:r>
          </w:p>
        </w:tc>
        <w:tc>
          <w:tcPr>
            <w:tcW w:w="2351"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lang w:bidi="ar"/>
              </w:rPr>
              <w:t>编码</w:t>
            </w:r>
          </w:p>
        </w:tc>
        <w:tc>
          <w:tcPr>
            <w:tcW w:w="3221"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lang w:bidi="ar"/>
              </w:rPr>
              <w:t>说明</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服务器</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A02010103</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台式计算机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A02010104</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不包括科研、测绘专业计算机、图形工作站</w:t>
            </w:r>
          </w:p>
        </w:tc>
      </w:tr>
      <w:tr>
        <w:tblPrEx>
          <w:tblCellMar>
            <w:top w:w="0" w:type="dxa"/>
            <w:left w:w="0" w:type="dxa"/>
            <w:bottom w:w="0" w:type="dxa"/>
            <w:right w:w="0" w:type="dxa"/>
          </w:tblCellMar>
        </w:tblPrEx>
        <w:trPr>
          <w:trHeight w:val="76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3</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便携式计算机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A02010105</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不包括科研、测绘专业计算机、图形工作站</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4</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喷墨打印机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A0201060101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5</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激光打印机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A0201060102</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6</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针式打印机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A0201060104</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7</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液晶显示器</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A0201060401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924"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8</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扫描仪</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A0201060901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1695" w:hRule="atLeast"/>
        </w:trPr>
        <w:tc>
          <w:tcPr>
            <w:tcW w:w="822" w:type="dxa"/>
            <w:tcBorders>
              <w:top w:val="nil"/>
              <w:left w:val="single" w:color="000000" w:sz="8"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9</w:t>
            </w:r>
          </w:p>
        </w:tc>
        <w:tc>
          <w:tcPr>
            <w:tcW w:w="2929"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基础软件</w:t>
            </w:r>
          </w:p>
        </w:tc>
        <w:tc>
          <w:tcPr>
            <w:tcW w:w="235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A02010801</w:t>
            </w:r>
          </w:p>
        </w:tc>
        <w:tc>
          <w:tcPr>
            <w:tcW w:w="322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指非定制的通用商业软件。包括操作系统、数据库管理系统、中间件、办公套件等。</w:t>
            </w:r>
          </w:p>
        </w:tc>
      </w:tr>
      <w:tr>
        <w:tblPrEx>
          <w:tblCellMar>
            <w:top w:w="0" w:type="dxa"/>
            <w:left w:w="0" w:type="dxa"/>
            <w:bottom w:w="0" w:type="dxa"/>
            <w:right w:w="0" w:type="dxa"/>
          </w:tblCellMar>
        </w:tblPrEx>
        <w:trPr>
          <w:trHeight w:val="3855" w:hRule="atLeast"/>
        </w:trPr>
        <w:tc>
          <w:tcPr>
            <w:tcW w:w="822" w:type="dxa"/>
            <w:tcBorders>
              <w:top w:val="single" w:color="auto" w:sz="4" w:space="0"/>
              <w:left w:val="single" w:color="auto" w:sz="4"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10</w:t>
            </w:r>
          </w:p>
        </w:tc>
        <w:tc>
          <w:tcPr>
            <w:tcW w:w="2929"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信息安全软件</w:t>
            </w:r>
          </w:p>
        </w:tc>
        <w:tc>
          <w:tcPr>
            <w:tcW w:w="2351"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A02010805</w:t>
            </w:r>
          </w:p>
        </w:tc>
        <w:tc>
          <w:tcPr>
            <w:tcW w:w="3221"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520" w:lineRule="atLeast"/>
              <w:jc w:val="both"/>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指非定制的通用商业软件。包括基础和平台类安全软件、数据安全软件、网络与边界安全软件、安全测试评估软件、安全应用软件、安全支撑软件、安全管理软件等。</w:t>
            </w:r>
          </w:p>
        </w:tc>
      </w:tr>
      <w:tr>
        <w:tblPrEx>
          <w:tblCellMar>
            <w:top w:w="0" w:type="dxa"/>
            <w:left w:w="0" w:type="dxa"/>
            <w:bottom w:w="0" w:type="dxa"/>
            <w:right w:w="0" w:type="dxa"/>
          </w:tblCellMar>
        </w:tblPrEx>
        <w:trPr>
          <w:trHeight w:val="390" w:hRule="atLeast"/>
        </w:trPr>
        <w:tc>
          <w:tcPr>
            <w:tcW w:w="822" w:type="dxa"/>
            <w:tcBorders>
              <w:top w:val="single" w:color="auto" w:sz="4"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11</w:t>
            </w:r>
          </w:p>
        </w:tc>
        <w:tc>
          <w:tcPr>
            <w:tcW w:w="2929"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复印机</w:t>
            </w:r>
          </w:p>
        </w:tc>
        <w:tc>
          <w:tcPr>
            <w:tcW w:w="2351"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A020201</w:t>
            </w:r>
          </w:p>
        </w:tc>
        <w:tc>
          <w:tcPr>
            <w:tcW w:w="3221"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bidi="ar"/>
              </w:rPr>
              <w:t>不包括印刷机</w:t>
            </w:r>
            <w:r>
              <w:rPr>
                <w:rFonts w:hint="default" w:ascii="Times New Roman" w:hAnsi="Times New Roman" w:eastAsia="仿宋_GB2312" w:cs="Times New Roman"/>
                <w:color w:val="000000"/>
                <w:sz w:val="28"/>
                <w:szCs w:val="28"/>
                <w:lang w:eastAsia="zh-CN" w:bidi="ar"/>
              </w:rPr>
              <w:t>、速印机</w:t>
            </w:r>
          </w:p>
        </w:tc>
      </w:tr>
      <w:tr>
        <w:tblPrEx>
          <w:tblCellMar>
            <w:top w:w="0" w:type="dxa"/>
            <w:left w:w="0" w:type="dxa"/>
            <w:bottom w:w="0" w:type="dxa"/>
            <w:right w:w="0" w:type="dxa"/>
          </w:tblCellMar>
        </w:tblPrEx>
        <w:trPr>
          <w:trHeight w:val="114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12</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投影仪</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A020202</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用于测量、测绘等专用投影仪除外</w:t>
            </w:r>
          </w:p>
        </w:tc>
      </w:tr>
      <w:tr>
        <w:tblPrEx>
          <w:tblCellMar>
            <w:top w:w="0" w:type="dxa"/>
            <w:left w:w="0" w:type="dxa"/>
            <w:bottom w:w="0" w:type="dxa"/>
            <w:right w:w="0" w:type="dxa"/>
          </w:tblCellMar>
        </w:tblPrEx>
        <w:trPr>
          <w:trHeight w:val="76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13</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多功能一体机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A020204</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8"/>
                <w:szCs w:val="28"/>
                <w:lang w:eastAsia="zh-CN"/>
              </w:rPr>
              <w:t>具有多种办公功能的设备</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14</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LED显示屏</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A020207</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75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15</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触控一体机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A020208</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r>
              <w:rPr>
                <w:rFonts w:hint="default" w:ascii="Times New Roman" w:hAnsi="Times New Roman" w:cs="Times New Roman"/>
                <w:color w:val="000000"/>
                <w:sz w:val="28"/>
                <w:szCs w:val="28"/>
                <w:lang w:eastAsia="zh-CN"/>
              </w:rPr>
              <w:t>包括室内型、户外型触控屏等</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16</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碎纸机</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A02021101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112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17</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乘用车</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A020305</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指轿车、越野车、商务车、皮卡，包含新能源汽车</w:t>
            </w:r>
          </w:p>
        </w:tc>
      </w:tr>
      <w:tr>
        <w:tblPrEx>
          <w:tblCellMar>
            <w:top w:w="0" w:type="dxa"/>
            <w:left w:w="0" w:type="dxa"/>
            <w:bottom w:w="0" w:type="dxa"/>
            <w:right w:w="0" w:type="dxa"/>
          </w:tblCellMar>
        </w:tblPrEx>
        <w:trPr>
          <w:trHeight w:val="114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18</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客车</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A020306</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指小型、大中型客车，包含新能源汽车</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19</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电梯</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A02051228</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765" w:hRule="atLeast"/>
        </w:trPr>
        <w:tc>
          <w:tcPr>
            <w:tcW w:w="822" w:type="dxa"/>
            <w:tcBorders>
              <w:top w:val="nil"/>
              <w:left w:val="single" w:color="000000" w:sz="8"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20</w:t>
            </w:r>
          </w:p>
        </w:tc>
        <w:tc>
          <w:tcPr>
            <w:tcW w:w="2929"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不间断电源（UPS）</w:t>
            </w:r>
          </w:p>
        </w:tc>
        <w:tc>
          <w:tcPr>
            <w:tcW w:w="235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A02061504</w:t>
            </w:r>
          </w:p>
        </w:tc>
        <w:tc>
          <w:tcPr>
            <w:tcW w:w="322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1140" w:hRule="atLeast"/>
        </w:trPr>
        <w:tc>
          <w:tcPr>
            <w:tcW w:w="822" w:type="dxa"/>
            <w:tcBorders>
              <w:top w:val="single" w:color="auto" w:sz="4" w:space="0"/>
              <w:left w:val="single" w:color="auto" w:sz="4"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21</w:t>
            </w:r>
          </w:p>
        </w:tc>
        <w:tc>
          <w:tcPr>
            <w:tcW w:w="2929"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空调机</w:t>
            </w:r>
          </w:p>
        </w:tc>
        <w:tc>
          <w:tcPr>
            <w:tcW w:w="2351"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A0206180203</w:t>
            </w:r>
          </w:p>
        </w:tc>
        <w:tc>
          <w:tcPr>
            <w:tcW w:w="3221" w:type="dxa"/>
            <w:tcBorders>
              <w:top w:val="single" w:color="auto" w:sz="4" w:space="0"/>
              <w:left w:val="nil"/>
              <w:bottom w:val="single" w:color="000000" w:sz="8" w:space="0"/>
              <w:right w:val="single" w:color="auto" w:sz="4"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不包括中央空调、多联式空调、精密空调</w:t>
            </w:r>
          </w:p>
        </w:tc>
      </w:tr>
      <w:tr>
        <w:tblPrEx>
          <w:tblCellMar>
            <w:top w:w="0" w:type="dxa"/>
            <w:left w:w="0" w:type="dxa"/>
            <w:bottom w:w="0" w:type="dxa"/>
            <w:right w:w="0" w:type="dxa"/>
          </w:tblCellMar>
        </w:tblPrEx>
        <w:trPr>
          <w:trHeight w:val="765" w:hRule="atLeast"/>
        </w:trPr>
        <w:tc>
          <w:tcPr>
            <w:tcW w:w="822" w:type="dxa"/>
            <w:tcBorders>
              <w:top w:val="nil"/>
              <w:left w:val="single" w:color="auto" w:sz="4"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22</w:t>
            </w:r>
          </w:p>
        </w:tc>
        <w:tc>
          <w:tcPr>
            <w:tcW w:w="2929"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视频会议系统设备</w:t>
            </w:r>
          </w:p>
        </w:tc>
        <w:tc>
          <w:tcPr>
            <w:tcW w:w="235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A020808</w:t>
            </w:r>
          </w:p>
        </w:tc>
        <w:tc>
          <w:tcPr>
            <w:tcW w:w="3221" w:type="dxa"/>
            <w:tcBorders>
              <w:top w:val="nil"/>
              <w:left w:val="nil"/>
              <w:bottom w:val="single" w:color="auto" w:sz="4" w:space="0"/>
              <w:right w:val="single" w:color="auto" w:sz="4"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1890" w:hRule="atLeast"/>
        </w:trPr>
        <w:tc>
          <w:tcPr>
            <w:tcW w:w="822" w:type="dxa"/>
            <w:tcBorders>
              <w:top w:val="single" w:color="auto" w:sz="4"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23</w:t>
            </w:r>
          </w:p>
        </w:tc>
        <w:tc>
          <w:tcPr>
            <w:tcW w:w="2929"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办公家具</w:t>
            </w:r>
          </w:p>
        </w:tc>
        <w:tc>
          <w:tcPr>
            <w:tcW w:w="2351"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A06</w:t>
            </w:r>
          </w:p>
        </w:tc>
        <w:tc>
          <w:tcPr>
            <w:tcW w:w="3221"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指木制或木制为主、钢制或钢制为主、铝制或铝制为主的办公家具</w:t>
            </w: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24</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复印纸</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A090101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151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25</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装修工程</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B07</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指与一般的建筑物、构筑物新建、改建、扩建无关的单独的装修工程。</w:t>
            </w:r>
          </w:p>
        </w:tc>
      </w:tr>
      <w:tr>
        <w:tblPrEx>
          <w:tblCellMar>
            <w:top w:w="0" w:type="dxa"/>
            <w:left w:w="0" w:type="dxa"/>
            <w:bottom w:w="0" w:type="dxa"/>
            <w:right w:w="0" w:type="dxa"/>
          </w:tblCellMar>
        </w:tblPrEx>
        <w:trPr>
          <w:trHeight w:val="151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26</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修缮工程</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B08</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指与一般的建筑物、构筑物新建、改建、扩建无关的单独的修缮工程。文物保护工程按照行业管理相关规定组织实施。</w:t>
            </w:r>
          </w:p>
        </w:tc>
      </w:tr>
      <w:tr>
        <w:tblPrEx>
          <w:tblCellMar>
            <w:top w:w="0" w:type="dxa"/>
            <w:left w:w="0" w:type="dxa"/>
            <w:bottom w:w="0" w:type="dxa"/>
            <w:right w:w="0" w:type="dxa"/>
          </w:tblCellMar>
        </w:tblPrEx>
        <w:trPr>
          <w:trHeight w:val="765"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27</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互联网接入服务</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C030102</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28</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法律服务</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C0801</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90" w:hRule="atLeast"/>
        </w:trPr>
        <w:tc>
          <w:tcPr>
            <w:tcW w:w="822"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29</w:t>
            </w:r>
          </w:p>
        </w:tc>
        <w:tc>
          <w:tcPr>
            <w:tcW w:w="2929"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审计服务</w:t>
            </w:r>
          </w:p>
        </w:tc>
        <w:tc>
          <w:tcPr>
            <w:tcW w:w="235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C0803</w:t>
            </w:r>
          </w:p>
        </w:tc>
        <w:tc>
          <w:tcPr>
            <w:tcW w:w="32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765" w:hRule="atLeast"/>
        </w:trPr>
        <w:tc>
          <w:tcPr>
            <w:tcW w:w="822" w:type="dxa"/>
            <w:tcBorders>
              <w:top w:val="nil"/>
              <w:left w:val="single" w:color="000000" w:sz="8"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30</w:t>
            </w:r>
          </w:p>
        </w:tc>
        <w:tc>
          <w:tcPr>
            <w:tcW w:w="2929"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资产及其他评估服务</w:t>
            </w:r>
          </w:p>
        </w:tc>
        <w:tc>
          <w:tcPr>
            <w:tcW w:w="235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C0805</w:t>
            </w:r>
          </w:p>
        </w:tc>
        <w:tc>
          <w:tcPr>
            <w:tcW w:w="3221" w:type="dxa"/>
            <w:tcBorders>
              <w:top w:val="nil"/>
              <w:left w:val="nil"/>
              <w:bottom w:val="single" w:color="auto" w:sz="4" w:space="0"/>
              <w:right w:val="single" w:color="000000" w:sz="8" w:space="0"/>
            </w:tcBorders>
            <w:shd w:val="clear" w:color="auto" w:fill="FFFFFF"/>
            <w:noWrap w:val="0"/>
            <w:tcMar>
              <w:top w:w="15" w:type="dxa"/>
              <w:left w:w="15" w:type="dxa"/>
              <w:right w:w="15" w:type="dxa"/>
            </w:tcMar>
            <w:vAlign w:val="center"/>
          </w:tcPr>
          <w:p>
            <w:pPr>
              <w:spacing w:line="520" w:lineRule="atLeast"/>
              <w:jc w:val="center"/>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trHeight w:val="3015" w:hRule="atLeast"/>
        </w:trPr>
        <w:tc>
          <w:tcPr>
            <w:tcW w:w="822" w:type="dxa"/>
            <w:tcBorders>
              <w:top w:val="single" w:color="auto" w:sz="4" w:space="0"/>
              <w:left w:val="single" w:color="auto" w:sz="4"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31</w:t>
            </w:r>
          </w:p>
        </w:tc>
        <w:tc>
          <w:tcPr>
            <w:tcW w:w="2929"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印刷服务</w:t>
            </w:r>
          </w:p>
        </w:tc>
        <w:tc>
          <w:tcPr>
            <w:tcW w:w="2351"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C081401</w:t>
            </w:r>
          </w:p>
        </w:tc>
        <w:tc>
          <w:tcPr>
            <w:tcW w:w="3221"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指本单位文印部门不能承担的票据、证书、期刊、文件、公文用纸、资料汇编、信封等印刷业务（不包括出版服务）</w:t>
            </w:r>
          </w:p>
        </w:tc>
      </w:tr>
      <w:tr>
        <w:tblPrEx>
          <w:tblCellMar>
            <w:top w:w="0" w:type="dxa"/>
            <w:left w:w="0" w:type="dxa"/>
            <w:bottom w:w="0" w:type="dxa"/>
            <w:right w:w="0" w:type="dxa"/>
          </w:tblCellMar>
        </w:tblPrEx>
        <w:trPr>
          <w:trHeight w:val="3575" w:hRule="atLeast"/>
        </w:trPr>
        <w:tc>
          <w:tcPr>
            <w:tcW w:w="822" w:type="dxa"/>
            <w:tcBorders>
              <w:top w:val="single" w:color="auto" w:sz="4" w:space="0"/>
              <w:left w:val="single" w:color="auto" w:sz="4" w:space="0"/>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32</w:t>
            </w:r>
          </w:p>
        </w:tc>
        <w:tc>
          <w:tcPr>
            <w:tcW w:w="2929"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物业管理服务</w:t>
            </w:r>
          </w:p>
        </w:tc>
        <w:tc>
          <w:tcPr>
            <w:tcW w:w="2351"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C1204</w:t>
            </w:r>
          </w:p>
        </w:tc>
        <w:tc>
          <w:tcPr>
            <w:tcW w:w="3221" w:type="dxa"/>
            <w:tcBorders>
              <w:top w:val="single" w:color="auto" w:sz="4" w:space="0"/>
              <w:left w:val="nil"/>
              <w:bottom w:val="single" w:color="auto" w:sz="4" w:space="0"/>
              <w:right w:val="single" w:color="000000" w:sz="8" w:space="0"/>
            </w:tcBorders>
            <w:shd w:val="clear" w:color="auto" w:fill="FFFFFF"/>
            <w:noWrap w:val="0"/>
            <w:tcMar>
              <w:top w:w="15" w:type="dxa"/>
              <w:left w:w="15" w:type="dxa"/>
              <w:right w:w="15" w:type="dxa"/>
            </w:tcMar>
            <w:vAlign w:val="center"/>
          </w:tcPr>
          <w:p>
            <w:pPr>
              <w:widowControl/>
              <w:spacing w:line="520" w:lineRule="atLeas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bidi="ar"/>
              </w:rPr>
              <w:t>指本单位不能承担的办公场所水电供应、设备运行、门窗保养维护、保洁、保安、绿化养护的物业管理及服务（单独实施的保安服务项目除外）</w:t>
            </w:r>
          </w:p>
        </w:tc>
      </w:tr>
    </w:tbl>
    <w:p>
      <w:pPr>
        <w:spacing w:line="520" w:lineRule="atLeast"/>
        <w:ind w:left="202" w:leftChars="-37" w:hanging="320" w:hangingChars="100"/>
        <w:jc w:val="both"/>
        <w:rPr>
          <w:rFonts w:hint="default" w:ascii="Times New Roman" w:hAnsi="Times New Roman" w:cs="Times New Roman"/>
          <w:color w:val="000000"/>
        </w:rPr>
      </w:pPr>
      <w:r>
        <w:rPr>
          <w:rFonts w:hint="default" w:ascii="Times New Roman" w:hAnsi="Times New Roman" w:cs="Times New Roman"/>
          <w:color w:val="000000"/>
        </w:rPr>
        <w:t>注：</w:t>
      </w:r>
    </w:p>
    <w:p>
      <w:pPr>
        <w:numPr>
          <w:ilvl w:val="0"/>
          <w:numId w:val="1"/>
        </w:numPr>
        <w:spacing w:line="520" w:lineRule="atLeast"/>
        <w:ind w:left="80" w:leftChars="25" w:firstLine="640" w:firstLineChars="200"/>
        <w:jc w:val="both"/>
        <w:rPr>
          <w:rFonts w:hint="default" w:ascii="Times New Roman" w:hAnsi="Times New Roman" w:cs="Times New Roman"/>
          <w:color w:val="000000"/>
        </w:rPr>
      </w:pPr>
      <w:r>
        <w:rPr>
          <w:rFonts w:hint="default" w:ascii="Times New Roman" w:hAnsi="Times New Roman" w:cs="Times New Roman"/>
          <w:color w:val="000000"/>
        </w:rPr>
        <w:t>表中所列项目根据财政部《政府采购品目分类目录》（财库〔2013〕189号）制定，除我</w:t>
      </w:r>
      <w:r>
        <w:rPr>
          <w:rFonts w:hint="default" w:ascii="Times New Roman" w:hAnsi="Times New Roman" w:cs="Times New Roman"/>
          <w:color w:val="000000"/>
          <w:lang w:eastAsia="zh-CN"/>
        </w:rPr>
        <w:t>市</w:t>
      </w:r>
      <w:r>
        <w:rPr>
          <w:rFonts w:hint="default" w:ascii="Times New Roman" w:hAnsi="Times New Roman" w:cs="Times New Roman"/>
          <w:color w:val="000000"/>
        </w:rPr>
        <w:t>另有补充说明外，各品目具体内容按照财政部《政府采购品目分类目录》。</w:t>
      </w:r>
    </w:p>
    <w:p>
      <w:pPr>
        <w:spacing w:line="520" w:lineRule="atLeast"/>
        <w:ind w:left="80" w:leftChars="25" w:firstLine="640" w:firstLineChars="200"/>
        <w:rPr>
          <w:rFonts w:hint="default" w:ascii="Times New Roman" w:hAnsi="Times New Roman" w:cs="Times New Roman"/>
          <w:color w:val="000000"/>
        </w:rPr>
      </w:pPr>
      <w:r>
        <w:rPr>
          <w:rFonts w:hint="default" w:ascii="Times New Roman" w:hAnsi="Times New Roman" w:cs="Times New Roman"/>
          <w:color w:val="000000"/>
        </w:rPr>
        <w:t>2.表中所列项目不包括部门集中采购项目和高校、科研机构所采购的科研仪器设备。</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eastAsia="黑体" w:cs="Times New Roman"/>
          <w:color w:val="000000"/>
        </w:rPr>
      </w:pPr>
      <w:r>
        <w:rPr>
          <w:rFonts w:hint="default" w:ascii="Times New Roman" w:hAnsi="Times New Roman" w:eastAsia="黑体" w:cs="Times New Roman"/>
          <w:color w:val="000000"/>
        </w:rPr>
        <w:t>二、部门集中采购</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为落实“放管服”改革精神，本集中采购目录不包含部门集中采购项目。各级主管预算单位对本部门或系统有特殊要求，需要统一配置的货物、工程和服务类专用项目，可结合实际工作需要自行确定本部门或系统的部门集中采购项目范围及限额标准，报同级财政部门备案后实施。部门集中采购项目的限额标准不得高于分散采购限额标准。</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eastAsia="黑体" w:cs="Times New Roman"/>
          <w:color w:val="000000"/>
        </w:rPr>
      </w:pPr>
      <w:r>
        <w:rPr>
          <w:rFonts w:hint="default" w:ascii="Times New Roman" w:hAnsi="Times New Roman" w:eastAsia="黑体" w:cs="Times New Roman"/>
          <w:color w:val="000000"/>
        </w:rPr>
        <w:t>三、分散采购限额标准</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除集中采购机构采购项目和部门集中采购项目外，一个财政年度内一个预算项目下的同一品目或类别的采购金额达到100万元以上（含100万元，下同）的货物和服务项目应执行《中华人民共和国政府采购法》有关规定，实行分散采购。</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eastAsia="黑体" w:cs="Times New Roman"/>
          <w:color w:val="000000"/>
        </w:rPr>
      </w:pPr>
      <w:r>
        <w:rPr>
          <w:rFonts w:hint="default" w:ascii="Times New Roman" w:hAnsi="Times New Roman" w:eastAsia="黑体" w:cs="Times New Roman"/>
          <w:color w:val="000000"/>
        </w:rPr>
        <w:t>四、公开招标数额标准</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（一）货物和服务类</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货物、服务类政府采购项目，年度采购预算金额达到400万元以上的应当公开招标。</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在一个财政年度内，采购人将一个预算项目下的同一品目或者类别的货物、服务采用公开招标以外的方式采购，累计资金数额超过公开招标数额标准的，属于以化整为零方式规避公开招标，但项目预算调整或者经批准采用公开招标以外方式采购除外。</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（二）工程类</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政府采购工程以及与工程建设有关的货物、服务，采用招标方式采购的，适用《中华人民共和国招标投标法》及其实施条例；采用其他方式采购的，适用《中华人民共和国政府采购法》及其实施条例。施工单项合同估算价400万元以上的工程项目、与工程建设有关的重要设备、材料等货物项目200万元以上的以及与工程建设有关的勘察、设计、监理服务项目100万元以上的，必须招标。</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rPr>
      </w:pPr>
      <w:r>
        <w:rPr>
          <w:rFonts w:hint="default" w:ascii="Times New Roman" w:hAnsi="Times New Roman" w:cs="Times New Roman"/>
          <w:color w:val="000000"/>
        </w:rPr>
        <w:t>与建筑物、构筑物的新建、改建、扩建无关的单独装修、修缮工程</w:t>
      </w:r>
      <w:r>
        <w:rPr>
          <w:rFonts w:hint="default" w:ascii="Times New Roman" w:hAnsi="Times New Roman" w:cs="Times New Roman"/>
          <w:color w:val="000000"/>
          <w:lang w:eastAsia="zh-CN"/>
        </w:rPr>
        <w:t>供应商的选择</w:t>
      </w:r>
      <w:r>
        <w:rPr>
          <w:rFonts w:hint="default" w:ascii="Times New Roman" w:hAnsi="Times New Roman" w:cs="Times New Roman"/>
          <w:color w:val="000000"/>
        </w:rPr>
        <w:t>实行集中</w:t>
      </w:r>
      <w:r>
        <w:rPr>
          <w:rFonts w:hint="default" w:ascii="Times New Roman" w:hAnsi="Times New Roman" w:cs="Times New Roman"/>
          <w:color w:val="000000"/>
          <w:lang w:eastAsia="zh-CN"/>
        </w:rPr>
        <w:t>定点</w:t>
      </w:r>
      <w:r>
        <w:rPr>
          <w:rFonts w:hint="default" w:ascii="Times New Roman" w:hAnsi="Times New Roman" w:cs="Times New Roman"/>
          <w:color w:val="000000"/>
        </w:rPr>
        <w:t>采购</w:t>
      </w:r>
      <w:r>
        <w:rPr>
          <w:rFonts w:hint="default" w:ascii="Times New Roman" w:hAnsi="Times New Roman" w:cs="Times New Roman"/>
          <w:color w:val="000000"/>
          <w:lang w:eastAsia="zh-CN"/>
        </w:rPr>
        <w:t>，工程其他事宜按照建设主管部门相关规定实施。</w:t>
      </w:r>
    </w:p>
    <w:p>
      <w:pPr>
        <w:numPr>
          <w:ilvl w:val="0"/>
          <w:numId w:val="0"/>
        </w:numPr>
        <w:spacing w:line="520" w:lineRule="atLeast"/>
        <w:ind w:firstLine="640" w:firstLineChars="200"/>
        <w:rPr>
          <w:rFonts w:hint="default" w:ascii="Times New Roman" w:hAnsi="Times New Roman" w:eastAsia="黑体" w:cs="Times New Roman"/>
          <w:b w:val="0"/>
          <w:bCs w:val="0"/>
          <w:color w:val="000000"/>
          <w:highlight w:val="none"/>
          <w:lang w:eastAsia="zh-CN"/>
        </w:rPr>
      </w:pPr>
      <w:r>
        <w:rPr>
          <w:rFonts w:hint="eastAsia" w:eastAsia="黑体" w:cs="Times New Roman"/>
          <w:b w:val="0"/>
          <w:bCs w:val="0"/>
          <w:color w:val="000000"/>
          <w:highlight w:val="none"/>
          <w:lang w:eastAsia="zh-CN"/>
        </w:rPr>
        <w:t>五、</w:t>
      </w:r>
      <w:r>
        <w:rPr>
          <w:rFonts w:hint="default" w:ascii="Times New Roman" w:hAnsi="Times New Roman" w:eastAsia="黑体" w:cs="Times New Roman"/>
          <w:b w:val="0"/>
          <w:bCs w:val="0"/>
          <w:color w:val="000000"/>
          <w:highlight w:val="none"/>
          <w:lang w:eastAsia="zh-CN"/>
        </w:rPr>
        <w:t>我市自主的集中采购目录</w:t>
      </w:r>
    </w:p>
    <w:p>
      <w:pPr>
        <w:numPr>
          <w:ilvl w:val="0"/>
          <w:numId w:val="0"/>
        </w:numPr>
        <w:spacing w:line="520" w:lineRule="atLeast"/>
        <w:ind w:firstLine="0" w:firstLineChars="0"/>
        <w:rPr>
          <w:rFonts w:hint="default" w:ascii="Times New Roman" w:hAnsi="Times New Roman" w:eastAsia="黑体" w:cs="Times New Roman"/>
          <w:b w:val="0"/>
          <w:bCs w:val="0"/>
          <w:color w:val="000000"/>
          <w:lang w:eastAsia="zh-CN"/>
        </w:rPr>
      </w:pPr>
      <w:r>
        <w:rPr>
          <w:rFonts w:hint="default" w:ascii="Times New Roman" w:hAnsi="Times New Roman" w:eastAsia="黑体" w:cs="Times New Roman"/>
          <w:b w:val="0"/>
          <w:bCs w:val="0"/>
          <w:color w:val="000000"/>
          <w:lang w:val="en-US" w:eastAsia="zh-CN"/>
        </w:rPr>
        <w:t xml:space="preserve">    </w:t>
      </w:r>
      <w:r>
        <w:rPr>
          <w:rFonts w:hint="default" w:ascii="Times New Roman" w:hAnsi="Times New Roman" w:eastAsia="仿宋_GB2312" w:cs="Times New Roman"/>
          <w:b w:val="0"/>
          <w:bCs w:val="0"/>
          <w:color w:val="000000"/>
          <w:lang w:val="en-US" w:eastAsia="zh-CN"/>
        </w:rPr>
        <w:t>为配合广东政府采购智慧云平台上线工作，我市自主的</w:t>
      </w:r>
      <w:r>
        <w:rPr>
          <w:rFonts w:hint="default" w:ascii="Times New Roman" w:hAnsi="Times New Roman" w:cs="Times New Roman"/>
          <w:b w:val="0"/>
          <w:bCs w:val="0"/>
          <w:color w:val="000000"/>
          <w:lang w:val="en-US" w:eastAsia="zh-CN"/>
        </w:rPr>
        <w:t>政府</w:t>
      </w:r>
      <w:r>
        <w:rPr>
          <w:rFonts w:hint="default" w:ascii="Times New Roman" w:hAnsi="Times New Roman" w:eastAsia="仿宋_GB2312" w:cs="Times New Roman"/>
          <w:b w:val="0"/>
          <w:bCs w:val="0"/>
          <w:color w:val="000000"/>
          <w:lang w:val="en-US" w:eastAsia="zh-CN"/>
        </w:rPr>
        <w:t>集中采购目录另行通知。</w:t>
      </w:r>
    </w:p>
    <w:p>
      <w:pPr>
        <w:numPr>
          <w:ilvl w:val="0"/>
          <w:numId w:val="0"/>
        </w:numPr>
        <w:spacing w:line="520" w:lineRule="atLeast"/>
        <w:ind w:firstLine="640" w:firstLineChars="200"/>
        <w:rPr>
          <w:rFonts w:hint="default" w:ascii="Times New Roman" w:hAnsi="Times New Roman" w:eastAsia="黑体" w:cs="Times New Roman"/>
          <w:color w:val="000000"/>
          <w:highlight w:val="none"/>
        </w:rPr>
      </w:pPr>
      <w:r>
        <w:rPr>
          <w:rFonts w:hint="default" w:ascii="Times New Roman" w:hAnsi="Times New Roman" w:eastAsia="黑体" w:cs="Times New Roman"/>
          <w:b w:val="0"/>
          <w:bCs w:val="0"/>
          <w:color w:val="000000"/>
          <w:lang w:eastAsia="zh-CN"/>
        </w:rPr>
        <w:t>六、</w:t>
      </w:r>
      <w:r>
        <w:rPr>
          <w:rFonts w:hint="default" w:ascii="Times New Roman" w:hAnsi="Times New Roman" w:eastAsia="黑体" w:cs="Times New Roman"/>
          <w:color w:val="000000"/>
          <w:highlight w:val="none"/>
        </w:rPr>
        <w:t>涉密采购规定</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cs="Times New Roman"/>
          <w:color w:val="000000"/>
          <w:highlight w:val="none"/>
        </w:rPr>
      </w:pPr>
      <w:r>
        <w:rPr>
          <w:rFonts w:hint="default" w:ascii="Times New Roman" w:hAnsi="Times New Roman" w:cs="Times New Roman"/>
          <w:color w:val="000000"/>
          <w:highlight w:val="none"/>
        </w:rPr>
        <w:t>涉密政府采购项目按照《涉密政府采购管理暂行办法》（财库〔2019〕39号）相关规定执行。</w:t>
      </w:r>
    </w:p>
    <w:p>
      <w:pPr>
        <w:keepNext w:val="0"/>
        <w:keepLines w:val="0"/>
        <w:pageBreakBefore w:val="0"/>
        <w:kinsoku/>
        <w:wordWrap/>
        <w:overflowPunct/>
        <w:topLinePunct w:val="0"/>
        <w:autoSpaceDE/>
        <w:autoSpaceDN/>
        <w:bidi w:val="0"/>
        <w:adjustRightInd w:val="0"/>
        <w:snapToGrid w:val="0"/>
        <w:spacing w:line="520" w:lineRule="atLeast"/>
        <w:ind w:firstLine="640" w:firstLineChars="200"/>
        <w:rPr>
          <w:rFonts w:hint="default" w:ascii="Times New Roman" w:hAnsi="Times New Roman" w:eastAsia="黑体" w:cs="Times New Roman"/>
          <w:color w:val="000000"/>
          <w:highlight w:val="none"/>
          <w:lang w:eastAsia="zh-CN"/>
        </w:rPr>
      </w:pPr>
      <w:r>
        <w:rPr>
          <w:rFonts w:hint="default" w:ascii="Times New Roman" w:hAnsi="Times New Roman" w:eastAsia="黑体" w:cs="Times New Roman"/>
          <w:color w:val="000000"/>
          <w:highlight w:val="none"/>
          <w:lang w:eastAsia="zh-CN"/>
        </w:rPr>
        <w:t>七</w:t>
      </w:r>
      <w:r>
        <w:rPr>
          <w:rFonts w:hint="default" w:ascii="Times New Roman" w:hAnsi="Times New Roman" w:eastAsia="黑体" w:cs="Times New Roman"/>
          <w:color w:val="000000"/>
          <w:highlight w:val="none"/>
        </w:rPr>
        <w:t>、</w:t>
      </w:r>
      <w:r>
        <w:rPr>
          <w:rFonts w:hint="default" w:ascii="Times New Roman" w:hAnsi="Times New Roman" w:eastAsia="黑体" w:cs="Times New Roman"/>
          <w:color w:val="000000"/>
          <w:highlight w:val="none"/>
          <w:lang w:eastAsia="zh-CN"/>
        </w:rPr>
        <w:t>其他</w:t>
      </w:r>
    </w:p>
    <w:p>
      <w:pPr>
        <w:spacing w:line="520" w:lineRule="atLeast"/>
        <w:ind w:firstLine="640" w:firstLineChars="200"/>
        <w:rPr>
          <w:rFonts w:hint="default" w:ascii="Times New Roman" w:hAnsi="Times New Roman" w:cs="Times New Roman"/>
        </w:rPr>
      </w:pPr>
      <w:r>
        <w:rPr>
          <w:rFonts w:hint="default" w:ascii="Times New Roman" w:hAnsi="Times New Roman" w:cs="Times New Roman"/>
          <w:color w:val="000000"/>
          <w:highlight w:val="none"/>
        </w:rPr>
        <w:t>本目录及标准自</w:t>
      </w:r>
      <w:r>
        <w:rPr>
          <w:rFonts w:hint="eastAsia" w:cs="Times New Roman"/>
          <w:color w:val="000000"/>
          <w:highlight w:val="none"/>
          <w:lang w:eastAsia="zh-CN"/>
        </w:rPr>
        <w:t>印发之日</w:t>
      </w:r>
      <w:r>
        <w:rPr>
          <w:rFonts w:hint="default" w:ascii="Times New Roman" w:hAnsi="Times New Roman" w:cs="Times New Roman"/>
          <w:color w:val="000000"/>
          <w:highlight w:val="none"/>
        </w:rPr>
        <w:t>起施行，《广州市财政局关于印发〈广州市政府集中采购目录及采购限额标准（2018年）〉的通知》（穗财采〔2018〕328号）、《广州市政府集中采购目录及采购限额标准（2018年）的补充通</w:t>
      </w:r>
      <w:r>
        <w:rPr>
          <w:rFonts w:hint="default" w:ascii="Times New Roman" w:hAnsi="Times New Roman" w:cs="Times New Roman"/>
          <w:color w:val="000000"/>
          <w:highlight w:val="none"/>
          <w:lang w:eastAsia="zh-CN"/>
        </w:rPr>
        <w:t>知</w:t>
      </w:r>
      <w:r>
        <w:rPr>
          <w:rFonts w:hint="default" w:ascii="Times New Roman" w:hAnsi="Times New Roman" w:cs="Times New Roman"/>
          <w:color w:val="000000"/>
          <w:highlight w:val="none"/>
        </w:rPr>
        <w:t>》（穗财采〔2019〕208号）同时废止。</w:t>
      </w:r>
    </w:p>
    <w:p>
      <w:pPr>
        <w:keepNext w:val="0"/>
        <w:keepLines w:val="0"/>
        <w:pageBreakBefore w:val="0"/>
        <w:kinsoku/>
        <w:wordWrap/>
        <w:overflowPunct/>
        <w:topLinePunct w:val="0"/>
        <w:autoSpaceDE/>
        <w:autoSpaceDN/>
        <w:bidi w:val="0"/>
        <w:adjustRightInd w:val="0"/>
        <w:snapToGrid w:val="0"/>
        <w:spacing w:line="520" w:lineRule="atLeast"/>
        <w:ind w:firstLine="5440" w:firstLineChars="1700"/>
        <w:rPr>
          <w:rFonts w:hint="default" w:ascii="Times New Roman" w:hAnsi="Times New Roman" w:cs="Times New Roman"/>
        </w:rPr>
      </w:pPr>
      <w:r>
        <w:rPr>
          <w:rFonts w:hint="default" w:ascii="Times New Roman" w:hAnsi="Times New Roman" w:cs="Times New Roman"/>
          <w:color w:val="000000"/>
        </w:rPr>
        <w:t xml:space="preserve">                                 </w:t>
      </w:r>
      <w:r>
        <w:rPr>
          <w:rFonts w:hint="default" w:ascii="Times New Roman" w:hAnsi="Times New Roman" w:cs="Times New Roman"/>
        </w:rPr>
        <w:t xml:space="preserve"> </w:t>
      </w:r>
    </w:p>
    <w:p>
      <w:pPr>
        <w:keepNext w:val="0"/>
        <w:keepLines w:val="0"/>
        <w:pageBreakBefore w:val="0"/>
        <w:kinsoku/>
        <w:wordWrap/>
        <w:overflowPunct/>
        <w:topLinePunct w:val="0"/>
        <w:autoSpaceDE/>
        <w:autoSpaceDN/>
        <w:bidi w:val="0"/>
        <w:adjustRightInd w:val="0"/>
        <w:snapToGrid w:val="0"/>
        <w:spacing w:line="520" w:lineRule="atLeast"/>
        <w:rPr>
          <w:rFonts w:hint="default" w:ascii="Times New Roman" w:hAnsi="Times New Roman" w:cs="Times New Roman"/>
        </w:rPr>
      </w:pPr>
    </w:p>
    <w:p/>
    <w:sectPr>
      <w:headerReference r:id="rId5" w:type="first"/>
      <w:footerReference r:id="rId8" w:type="first"/>
      <w:headerReference r:id="rId3" w:type="default"/>
      <w:footerReference r:id="rId6" w:type="default"/>
      <w:headerReference r:id="rId4" w:type="even"/>
      <w:footerReference r:id="rId7" w:type="even"/>
      <w:pgSz w:w="11907" w:h="16840"/>
      <w:pgMar w:top="2098" w:right="1588" w:bottom="1985" w:left="1588" w:header="0" w:footer="1588" w:gutter="0"/>
      <w:pgBorders>
        <w:top w:val="none" w:sz="0" w:space="0"/>
        <w:left w:val="none" w:sz="0" w:space="0"/>
        <w:bottom w:val="none" w:sz="0" w:space="0"/>
        <w:right w:val="none" w:sz="0" w:space="0"/>
      </w:pgBorders>
      <w:cols w:space="720" w:num="1"/>
      <w:titlePg/>
      <w:docGrid w:type="lines" w:linePitch="5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right"/>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w:instrText>
    </w:r>
    <w:r>
      <w:rPr>
        <w:rFonts w:hint="eastAsia" w:ascii="仿宋_GB2312"/>
        <w:sz w:val="28"/>
        <w:szCs w:val="28"/>
      </w:rPr>
      <w:fldChar w:fldCharType="separate"/>
    </w:r>
    <w:r>
      <w:rPr>
        <w:rFonts w:ascii="仿宋_GB2312"/>
        <w:sz w:val="28"/>
        <w:szCs w:val="28"/>
      </w:rPr>
      <w:t>3</w:t>
    </w:r>
    <w:r>
      <w:rPr>
        <w:rFonts w:hint="eastAsia" w:ascii="仿宋_GB2312"/>
        <w:sz w:val="28"/>
        <w:szCs w:val="28"/>
      </w:rPr>
      <w:fldChar w:fldCharType="end"/>
    </w:r>
    <w:r>
      <w:rPr>
        <w:rFonts w:hint="eastAsia" w:ascii="仿宋_GB2312"/>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left"/>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w:instrText>
    </w:r>
    <w:r>
      <w:rPr>
        <w:rFonts w:hint="eastAsia" w:ascii="仿宋_GB2312"/>
        <w:sz w:val="28"/>
        <w:szCs w:val="28"/>
      </w:rPr>
      <w:fldChar w:fldCharType="separate"/>
    </w:r>
    <w:r>
      <w:rPr>
        <w:rFonts w:ascii="仿宋_GB2312"/>
        <w:sz w:val="28"/>
        <w:szCs w:val="28"/>
      </w:rPr>
      <w:t>2</w:t>
    </w:r>
    <w:r>
      <w:rPr>
        <w:rFonts w:hint="eastAsia" w:ascii="仿宋_GB2312"/>
        <w:sz w:val="28"/>
        <w:szCs w:val="28"/>
      </w:rPr>
      <w:fldChar w:fldCharType="end"/>
    </w:r>
    <w:r>
      <w:rPr>
        <w:rFonts w:hint="eastAsia" w:ascii="仿宋_GB23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360" w:firstLine="360"/>
      <w:jc w:val="right"/>
      <w:rPr>
        <w:rFonts w:hint="eastAsia" w:ascii="仿宋_GB2312"/>
        <w:sz w:val="28"/>
        <w:szCs w:val="28"/>
      </w:rPr>
    </w:pPr>
    <w:r>
      <w:rPr>
        <w:rFonts w:hint="eastAsia"/>
      </w:rPr>
      <w:t xml:space="preserve">— </w:t>
    </w:r>
    <w:r>
      <w:rPr>
        <w:rFonts w:hint="eastAsia"/>
      </w:rPr>
      <w:fldChar w:fldCharType="begin"/>
    </w:r>
    <w:r>
      <w:rPr>
        <w:rFonts w:hint="eastAsia"/>
      </w:rPr>
      <w:instrText xml:space="preserve"> PAGE </w:instrText>
    </w:r>
    <w:r>
      <w:rPr>
        <w:rFonts w:hint="eastAsia"/>
      </w:rPr>
      <w:fldChar w:fldCharType="separate"/>
    </w:r>
    <w:r>
      <w:t>1</w:t>
    </w:r>
    <w:r>
      <w:rPr>
        <w:rFonts w:hint="eastAsia"/>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9C8E44"/>
    <w:multiLevelType w:val="singleLevel"/>
    <w:tmpl w:val="C29C8E4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02F66"/>
    <w:rsid w:val="39D0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2021-01-05T05:44:00Z</dcterms:created>
  <dc:creator>acer</dc:creator>
  <cp:lastModifiedBy>acer</cp:lastModifiedBy>
  <dcterms:modified xsi:type="dcterms:W3CDTF">2021-01-05T05:45:35Z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